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4A0E9" w14:textId="1A4E0D75" w:rsidR="00D05BE9" w:rsidRPr="0052548E" w:rsidRDefault="00D05BE9" w:rsidP="00D05BE9">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00825E5B">
        <w:rPr>
          <w:rFonts w:ascii="Arial" w:hAnsi="Arial" w:cs="Arial"/>
          <w:b/>
          <w:bCs/>
          <w:sz w:val="28"/>
        </w:rPr>
        <w:t>R1-</w:t>
      </w:r>
      <w:r w:rsidR="00825E5B" w:rsidRPr="00825E5B">
        <w:rPr>
          <w:rFonts w:ascii="Arial" w:hAnsi="Arial" w:cs="Arial"/>
          <w:b/>
          <w:bCs/>
          <w:sz w:val="28"/>
        </w:rPr>
        <w:t>1911164</w:t>
      </w:r>
    </w:p>
    <w:p w14:paraId="35DE0F58" w14:textId="77777777" w:rsidR="00D05BE9" w:rsidRPr="009513AC" w:rsidRDefault="00D05BE9" w:rsidP="00D05BE9">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6B19B1">
        <w:rPr>
          <w:rFonts w:ascii="Arial" w:eastAsia="ＭＳ 明朝" w:hAnsi="Arial" w:cs="Arial"/>
          <w:b/>
          <w:bCs/>
          <w:sz w:val="28"/>
          <w:vertAlign w:val="superscript"/>
        </w:rPr>
        <w:t>th</w:t>
      </w:r>
      <w:r>
        <w:rPr>
          <w:rFonts w:ascii="Arial" w:eastAsia="ＭＳ 明朝" w:hAnsi="Arial" w:cs="Arial"/>
          <w:b/>
          <w:bCs/>
          <w:sz w:val="28"/>
        </w:rPr>
        <w:t xml:space="preserve"> – 20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D05BE9"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8D5F03"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8727E1" w:rsidRPr="008727E1">
        <w:rPr>
          <w:sz w:val="24"/>
          <w:lang w:val="en-US" w:eastAsia="ja-JP"/>
        </w:rPr>
        <w:t>Wide-band operation for NR-U</w:t>
      </w:r>
    </w:p>
    <w:p w14:paraId="33948831" w14:textId="0833584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B408B0">
        <w:rPr>
          <w:sz w:val="24"/>
          <w:lang w:val="en-US" w:eastAsia="ja-JP"/>
        </w:rPr>
        <w:t>2</w:t>
      </w:r>
      <w:r w:rsidR="00484F06">
        <w:rPr>
          <w:rFonts w:hint="eastAsia"/>
          <w:sz w:val="24"/>
          <w:lang w:val="en-US" w:eastAsia="ja-JP"/>
        </w:rPr>
        <w:t>.</w:t>
      </w:r>
      <w:r w:rsidR="00B408B0">
        <w:rPr>
          <w:sz w:val="24"/>
          <w:lang w:val="en-US" w:eastAsia="ja-JP"/>
        </w:rPr>
        <w:t>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bookmarkStart w:id="2" w:name="_GoBack"/>
      <w:bookmarkEnd w:id="2"/>
      <w:r w:rsidRPr="00EE092A">
        <w:rPr>
          <w:rFonts w:eastAsia="ＭＳ 明朝" w:hint="eastAsia"/>
          <w:b/>
          <w:bCs/>
          <w:szCs w:val="24"/>
          <w:lang w:val="en-US"/>
        </w:rPr>
        <w:t>Introduction</w:t>
      </w:r>
    </w:p>
    <w:p w14:paraId="3F0D1184" w14:textId="04DA6E8B" w:rsidR="00B1697C" w:rsidRPr="00B1697C" w:rsidRDefault="00B1697C" w:rsidP="00B1697C">
      <w:pPr>
        <w:spacing w:afterLines="50" w:after="120"/>
        <w:jc w:val="both"/>
        <w:rPr>
          <w:rFonts w:eastAsia="ＭＳ 明朝"/>
          <w:sz w:val="22"/>
          <w:szCs w:val="22"/>
          <w:lang w:val="en-US"/>
        </w:rPr>
      </w:pPr>
      <w:r w:rsidRPr="00B1697C">
        <w:rPr>
          <w:rFonts w:eastAsia="ＭＳ 明朝" w:hint="eastAsia"/>
          <w:sz w:val="22"/>
          <w:szCs w:val="22"/>
          <w:lang w:val="en-US"/>
        </w:rPr>
        <w:t>At the RAN</w:t>
      </w:r>
      <w:r w:rsidRPr="00B1697C">
        <w:rPr>
          <w:rFonts w:eastAsia="ＭＳ 明朝"/>
          <w:sz w:val="22"/>
          <w:szCs w:val="22"/>
          <w:lang w:val="en-US"/>
        </w:rPr>
        <w:t xml:space="preserve">1 </w:t>
      </w:r>
      <w:r w:rsidR="004A59EE">
        <w:rPr>
          <w:rFonts w:eastAsia="ＭＳ 明朝" w:hint="eastAsia"/>
          <w:sz w:val="22"/>
          <w:szCs w:val="22"/>
          <w:lang w:val="en-US"/>
        </w:rPr>
        <w:t>#</w:t>
      </w:r>
      <w:r w:rsidR="004A59EE">
        <w:rPr>
          <w:rFonts w:eastAsia="ＭＳ 明朝"/>
          <w:sz w:val="22"/>
          <w:szCs w:val="22"/>
          <w:lang w:val="en-US"/>
        </w:rPr>
        <w:t>9</w:t>
      </w:r>
      <w:r w:rsidR="00F66735">
        <w:rPr>
          <w:rFonts w:eastAsia="ＭＳ 明朝"/>
          <w:sz w:val="22"/>
          <w:szCs w:val="22"/>
          <w:lang w:val="en-US"/>
        </w:rPr>
        <w:t>8</w:t>
      </w:r>
      <w:r w:rsidRPr="00B1697C">
        <w:rPr>
          <w:rFonts w:eastAsia="ＭＳ 明朝"/>
          <w:sz w:val="22"/>
          <w:szCs w:val="22"/>
          <w:lang w:val="en-US"/>
        </w:rPr>
        <w:t xml:space="preserve"> </w:t>
      </w:r>
      <w:r w:rsidRPr="00B1697C">
        <w:rPr>
          <w:rFonts w:eastAsia="ＭＳ 明朝" w:hint="eastAsia"/>
          <w:sz w:val="22"/>
          <w:szCs w:val="22"/>
          <w:lang w:val="en-US"/>
        </w:rPr>
        <w:t xml:space="preserve">meeting, </w:t>
      </w:r>
      <w:r>
        <w:rPr>
          <w:rFonts w:eastAsia="ＭＳ 明朝"/>
          <w:sz w:val="22"/>
          <w:szCs w:val="22"/>
          <w:lang w:val="en-US"/>
        </w:rPr>
        <w:t>wide-band operation for NR-U was</w:t>
      </w:r>
      <w:r w:rsidRPr="00B1697C">
        <w:rPr>
          <w:rFonts w:eastAsia="ＭＳ 明朝"/>
          <w:sz w:val="22"/>
          <w:szCs w:val="22"/>
          <w:lang w:val="en-US"/>
        </w:rPr>
        <w:t xml:space="preserve"> di</w:t>
      </w:r>
      <w:r w:rsidR="00F66735">
        <w:rPr>
          <w:rFonts w:eastAsia="ＭＳ 明朝"/>
          <w:sz w:val="22"/>
          <w:szCs w:val="22"/>
          <w:lang w:val="en-US"/>
        </w:rPr>
        <w:t>scussed and following agreement/conclusion</w:t>
      </w:r>
      <w:r w:rsidRPr="00B1697C">
        <w:rPr>
          <w:rFonts w:eastAsia="ＭＳ 明朝"/>
          <w:sz w:val="22"/>
          <w:szCs w:val="22"/>
          <w:lang w:val="en-US"/>
        </w:rPr>
        <w:t xml:space="preserve"> were made</w:t>
      </w:r>
      <w:r w:rsidRPr="00B1697C">
        <w:rPr>
          <w:rFonts w:eastAsia="ＭＳ 明朝" w:hint="eastAsia"/>
          <w:sz w:val="22"/>
          <w:szCs w:val="22"/>
          <w:lang w:val="en-US"/>
        </w:rPr>
        <w:t xml:space="preserve"> [1].</w:t>
      </w:r>
      <w:r w:rsidRPr="00B1697C">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46057AA4" w14:textId="77777777" w:rsidR="00F66735" w:rsidRPr="00F66735" w:rsidRDefault="00F66735" w:rsidP="00F66735">
            <w:pPr>
              <w:rPr>
                <w:rFonts w:ascii="Times" w:eastAsia="Batang" w:hAnsi="Times"/>
                <w:sz w:val="20"/>
                <w:szCs w:val="24"/>
                <w:u w:val="single"/>
                <w:lang w:eastAsia="x-none"/>
              </w:rPr>
            </w:pPr>
            <w:r w:rsidRPr="00F66735">
              <w:rPr>
                <w:rFonts w:ascii="Times" w:eastAsia="Batang" w:hAnsi="Times"/>
                <w:sz w:val="20"/>
                <w:szCs w:val="24"/>
                <w:u w:val="single"/>
                <w:lang w:eastAsia="x-none"/>
              </w:rPr>
              <w:t>Conclusion:</w:t>
            </w:r>
          </w:p>
          <w:p w14:paraId="5B3EC39D" w14:textId="77777777" w:rsidR="00F66735" w:rsidRPr="00F66735" w:rsidRDefault="00F66735" w:rsidP="00F66735">
            <w:pPr>
              <w:rPr>
                <w:rFonts w:ascii="Times" w:eastAsia="Batang" w:hAnsi="Times"/>
                <w:sz w:val="20"/>
                <w:szCs w:val="24"/>
                <w:lang w:eastAsia="ko-KR"/>
              </w:rPr>
            </w:pPr>
            <w:r w:rsidRPr="00F66735">
              <w:rPr>
                <w:rFonts w:ascii="Times" w:eastAsia="Batang" w:hAnsi="Times"/>
                <w:sz w:val="20"/>
                <w:szCs w:val="24"/>
                <w:lang w:eastAsia="ko-KR"/>
              </w:rPr>
              <w:t>The following are unchanged from Rel-15 for PDCCH.</w:t>
            </w:r>
          </w:p>
          <w:p w14:paraId="11E3364E" w14:textId="77777777" w:rsidR="00F66735" w:rsidRPr="00F66735" w:rsidRDefault="00F66735" w:rsidP="00F66735">
            <w:pPr>
              <w:numPr>
                <w:ilvl w:val="0"/>
                <w:numId w:val="41"/>
              </w:numPr>
              <w:spacing w:after="160" w:line="256" w:lineRule="auto"/>
              <w:contextualSpacing/>
              <w:jc w:val="both"/>
              <w:rPr>
                <w:rFonts w:ascii="Times" w:eastAsia="Batang" w:hAnsi="Times"/>
                <w:sz w:val="20"/>
                <w:szCs w:val="24"/>
                <w:lang w:val="en-US" w:eastAsia="x-none"/>
              </w:rPr>
            </w:pPr>
            <w:r w:rsidRPr="00F66735">
              <w:rPr>
                <w:rFonts w:ascii="Times" w:eastAsia="Batang" w:hAnsi="Times"/>
                <w:sz w:val="20"/>
                <w:szCs w:val="24"/>
                <w:lang w:val="en-US" w:eastAsia="x-none"/>
              </w:rPr>
              <w:t>The maximum number of monitored PDCCH candidates per slot and per serving cell.</w:t>
            </w:r>
          </w:p>
          <w:p w14:paraId="54A700C3" w14:textId="77777777" w:rsidR="00F66735" w:rsidRPr="00F66735" w:rsidRDefault="00F66735" w:rsidP="00F66735">
            <w:pPr>
              <w:numPr>
                <w:ilvl w:val="0"/>
                <w:numId w:val="41"/>
              </w:numPr>
              <w:spacing w:after="160" w:line="256" w:lineRule="auto"/>
              <w:contextualSpacing/>
              <w:jc w:val="both"/>
              <w:rPr>
                <w:rFonts w:ascii="Times" w:eastAsia="Batang" w:hAnsi="Times"/>
                <w:sz w:val="20"/>
                <w:szCs w:val="24"/>
                <w:lang w:val="en-US" w:eastAsia="x-none"/>
              </w:rPr>
            </w:pPr>
            <w:r w:rsidRPr="00F66735">
              <w:rPr>
                <w:rFonts w:ascii="Times" w:eastAsia="Batang" w:hAnsi="Times"/>
                <w:sz w:val="20"/>
                <w:szCs w:val="24"/>
                <w:lang w:val="en-US" w:eastAsia="x-none"/>
              </w:rPr>
              <w:t>The maximum number of non-overlapped CCEs per slot and per serving cell.</w:t>
            </w:r>
          </w:p>
          <w:p w14:paraId="25D51C0C" w14:textId="77777777" w:rsidR="00F66735" w:rsidRPr="00F66735" w:rsidRDefault="00F66735" w:rsidP="00F66735">
            <w:pPr>
              <w:numPr>
                <w:ilvl w:val="0"/>
                <w:numId w:val="41"/>
              </w:numPr>
              <w:spacing w:after="160" w:line="256" w:lineRule="auto"/>
              <w:contextualSpacing/>
              <w:jc w:val="both"/>
              <w:rPr>
                <w:rFonts w:ascii="Times" w:eastAsia="Batang" w:hAnsi="Times"/>
                <w:sz w:val="20"/>
                <w:szCs w:val="24"/>
                <w:lang w:val="en-US" w:eastAsia="x-none"/>
              </w:rPr>
            </w:pPr>
            <w:r w:rsidRPr="00F66735">
              <w:rPr>
                <w:rFonts w:ascii="Times" w:eastAsia="Batang" w:hAnsi="Times"/>
                <w:sz w:val="20"/>
                <w:szCs w:val="24"/>
                <w:lang w:val="en-US" w:eastAsia="x-none"/>
              </w:rPr>
              <w:t>CCE-to-REG mapping rule and hashing function.</w:t>
            </w:r>
          </w:p>
          <w:p w14:paraId="7BA1BEB7" w14:textId="77777777" w:rsidR="00F66735" w:rsidRPr="00F66735" w:rsidRDefault="00F66735" w:rsidP="00F66735">
            <w:pPr>
              <w:spacing w:after="160" w:line="256" w:lineRule="auto"/>
              <w:contextualSpacing/>
              <w:jc w:val="both"/>
              <w:rPr>
                <w:rFonts w:ascii="Times" w:eastAsia="Batang" w:hAnsi="Times"/>
                <w:sz w:val="20"/>
                <w:szCs w:val="24"/>
                <w:lang w:val="en-US" w:eastAsia="x-none"/>
              </w:rPr>
            </w:pPr>
          </w:p>
          <w:p w14:paraId="071E61D4" w14:textId="77777777" w:rsidR="00F66735" w:rsidRPr="00F66735" w:rsidRDefault="00F66735" w:rsidP="00F66735">
            <w:pPr>
              <w:spacing w:after="160" w:line="256" w:lineRule="auto"/>
              <w:contextualSpacing/>
              <w:jc w:val="both"/>
              <w:rPr>
                <w:rFonts w:ascii="Times" w:eastAsia="Batang" w:hAnsi="Times"/>
                <w:sz w:val="20"/>
                <w:szCs w:val="24"/>
                <w:lang w:val="en-US" w:eastAsia="x-none"/>
              </w:rPr>
            </w:pPr>
            <w:r w:rsidRPr="00F66735">
              <w:rPr>
                <w:rFonts w:ascii="Times" w:eastAsia="Batang" w:hAnsi="Times"/>
                <w:sz w:val="20"/>
                <w:szCs w:val="24"/>
                <w:highlight w:val="green"/>
                <w:lang w:val="en-US" w:eastAsia="x-none"/>
              </w:rPr>
              <w:t>Agreement:</w:t>
            </w:r>
          </w:p>
          <w:p w14:paraId="339BB27F" w14:textId="77777777" w:rsidR="00F66735" w:rsidRPr="00F66735" w:rsidRDefault="00F66735" w:rsidP="00F66735">
            <w:pPr>
              <w:rPr>
                <w:rFonts w:ascii="Times" w:eastAsia="Batang" w:hAnsi="Times"/>
                <w:sz w:val="20"/>
                <w:szCs w:val="24"/>
                <w:lang w:eastAsia="ko-KR"/>
              </w:rPr>
            </w:pPr>
            <w:r w:rsidRPr="00F66735">
              <w:rPr>
                <w:rFonts w:ascii="Times" w:eastAsia="Batang" w:hAnsi="Times"/>
                <w:sz w:val="20"/>
                <w:szCs w:val="24"/>
                <w:lang w:eastAsia="ko-KR"/>
              </w:rPr>
              <w:t xml:space="preserve">For CORESET configuration in a serving cell with carrier bandwidth greater than LBT bandwidth, </w:t>
            </w:r>
          </w:p>
          <w:p w14:paraId="771B799E" w14:textId="77777777" w:rsidR="00F66735" w:rsidRPr="00F66735" w:rsidRDefault="00F66735" w:rsidP="00F66735">
            <w:pPr>
              <w:numPr>
                <w:ilvl w:val="0"/>
                <w:numId w:val="41"/>
              </w:numPr>
              <w:spacing w:after="160" w:line="256" w:lineRule="auto"/>
              <w:ind w:left="720"/>
              <w:contextualSpacing/>
              <w:jc w:val="both"/>
              <w:rPr>
                <w:rFonts w:ascii="Times" w:eastAsia="Batang" w:hAnsi="Times"/>
                <w:sz w:val="20"/>
                <w:szCs w:val="24"/>
                <w:lang w:val="en-US" w:eastAsia="x-none"/>
              </w:rPr>
            </w:pPr>
            <w:r w:rsidRPr="00F66735">
              <w:rPr>
                <w:rFonts w:ascii="Times" w:eastAsia="Batang" w:hAnsi="Times"/>
                <w:sz w:val="20"/>
                <w:szCs w:val="24"/>
                <w:lang w:val="en-US" w:eastAsia="x-none"/>
              </w:rPr>
              <w:t xml:space="preserve">For the case where a CORESET is confined within a LBT bandwidth, the search space set configuration </w:t>
            </w:r>
            <w:r w:rsidRPr="00F66735">
              <w:rPr>
                <w:rFonts w:ascii="Times" w:eastAsia="Batang" w:hAnsi="Times"/>
                <w:sz w:val="20"/>
                <w:szCs w:val="24"/>
                <w:lang w:eastAsia="x-none"/>
              </w:rPr>
              <w:t>associated with the CORESET can have multiple monitoring locations in the frequency domain (per LBT bandwidth)</w:t>
            </w:r>
          </w:p>
          <w:p w14:paraId="7415872D" w14:textId="77777777" w:rsidR="00F66735" w:rsidRPr="00F66735" w:rsidRDefault="00F66735" w:rsidP="00F66735">
            <w:pPr>
              <w:numPr>
                <w:ilvl w:val="1"/>
                <w:numId w:val="41"/>
              </w:numPr>
              <w:spacing w:after="160" w:line="256" w:lineRule="auto"/>
              <w:ind w:left="1440"/>
              <w:contextualSpacing/>
              <w:jc w:val="both"/>
              <w:rPr>
                <w:rFonts w:ascii="Times" w:eastAsia="Batang" w:hAnsi="Times"/>
                <w:sz w:val="20"/>
                <w:szCs w:val="24"/>
                <w:lang w:val="en-US" w:eastAsia="x-none"/>
              </w:rPr>
            </w:pPr>
            <w:r w:rsidRPr="00F66735">
              <w:rPr>
                <w:rFonts w:ascii="Times" w:eastAsia="Batang" w:hAnsi="Times"/>
                <w:sz w:val="20"/>
                <w:szCs w:val="24"/>
                <w:lang w:val="en-US" w:eastAsia="x-none"/>
              </w:rPr>
              <w:t>Send an LS to RAN2 informing them of this agreement and providing clarifications on the above if necessary</w:t>
            </w:r>
          </w:p>
          <w:p w14:paraId="607EE953" w14:textId="29997B95" w:rsidR="00B1697C" w:rsidRPr="00F66735" w:rsidRDefault="00F66735" w:rsidP="00F66735">
            <w:pPr>
              <w:numPr>
                <w:ilvl w:val="0"/>
                <w:numId w:val="41"/>
              </w:numPr>
              <w:spacing w:after="160" w:line="256" w:lineRule="auto"/>
              <w:ind w:left="720"/>
              <w:contextualSpacing/>
              <w:jc w:val="both"/>
              <w:rPr>
                <w:rFonts w:eastAsia="游明朝"/>
                <w:sz w:val="20"/>
                <w:lang w:val="en-US"/>
              </w:rPr>
            </w:pPr>
            <w:r w:rsidRPr="00F66735">
              <w:rPr>
                <w:rFonts w:ascii="Times" w:eastAsia="Batang" w:hAnsi="Times"/>
                <w:sz w:val="20"/>
                <w:szCs w:val="24"/>
                <w:lang w:eastAsia="x-none"/>
              </w:rPr>
              <w:t>Note: For scenarios in which gNB transmits PDCCH/PDSCH on a single BWP if CCA is successful at gNB for the whole BWP, CORESET(s) need not all be confined within an LBT bandwidth, and no specification impact is foreseen</w:t>
            </w:r>
          </w:p>
        </w:tc>
      </w:tr>
    </w:tbl>
    <w:p w14:paraId="756E9762" w14:textId="0F4C1569" w:rsidR="00764120" w:rsidRDefault="00764120" w:rsidP="00956F10">
      <w:pPr>
        <w:spacing w:afterLines="50" w:after="120"/>
        <w:jc w:val="both"/>
        <w:rPr>
          <w:rFonts w:eastAsia="ＭＳ 明朝"/>
          <w:sz w:val="22"/>
          <w:szCs w:val="22"/>
          <w:lang w:val="en-US"/>
        </w:rPr>
      </w:pPr>
    </w:p>
    <w:p w14:paraId="44A25296" w14:textId="717DD257" w:rsidR="006D0257" w:rsidRDefault="006D0257" w:rsidP="006D0257">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“Wideband operations</w:t>
      </w:r>
      <w:r>
        <w:rPr>
          <w:rFonts w:eastAsia="ＭＳ 明朝" w:hint="eastAsia"/>
          <w:sz w:val="22"/>
          <w:szCs w:val="22"/>
          <w:lang w:val="en-US"/>
        </w:rPr>
        <w:t xml:space="preserve"> </w:t>
      </w:r>
      <w:r>
        <w:rPr>
          <w:rFonts w:eastAsia="ＭＳ 明朝"/>
          <w:sz w:val="22"/>
          <w:szCs w:val="22"/>
          <w:lang w:val="en-US"/>
        </w:rPr>
        <w:t>for NR-U” agenda was endorsed [2].</w:t>
      </w:r>
    </w:p>
    <w:tbl>
      <w:tblPr>
        <w:tblStyle w:val="afa"/>
        <w:tblW w:w="0" w:type="auto"/>
        <w:tblLook w:val="04A0" w:firstRow="1" w:lastRow="0" w:firstColumn="1" w:lastColumn="0" w:noHBand="0" w:noVBand="1"/>
      </w:tblPr>
      <w:tblGrid>
        <w:gridCol w:w="9962"/>
      </w:tblGrid>
      <w:tr w:rsidR="006D0257" w14:paraId="3CA09B73" w14:textId="77777777" w:rsidTr="001F2474">
        <w:tc>
          <w:tcPr>
            <w:tcW w:w="9962" w:type="dxa"/>
          </w:tcPr>
          <w:p w14:paraId="3A1F8A97" w14:textId="77777777" w:rsidR="006D0257" w:rsidRPr="006D0257" w:rsidRDefault="006D0257" w:rsidP="006D0257">
            <w:pPr>
              <w:rPr>
                <w:b/>
                <w:color w:val="0000FF"/>
                <w:sz w:val="21"/>
                <w:szCs w:val="16"/>
                <w:lang w:val="en-US"/>
              </w:rPr>
            </w:pPr>
            <w:r w:rsidRPr="006D0257">
              <w:rPr>
                <w:b/>
                <w:color w:val="0000FF"/>
                <w:sz w:val="21"/>
                <w:szCs w:val="16"/>
                <w:lang w:val="en-US"/>
              </w:rPr>
              <w:t>7.2.2.2.5 Wideband operations</w:t>
            </w:r>
          </w:p>
          <w:p w14:paraId="671484B7" w14:textId="77777777" w:rsidR="006D0257" w:rsidRPr="006D0257" w:rsidRDefault="006D0257" w:rsidP="006D0257">
            <w:pPr>
              <w:rPr>
                <w:sz w:val="21"/>
                <w:szCs w:val="16"/>
                <w:lang w:val="en-US"/>
              </w:rPr>
            </w:pPr>
            <w:r w:rsidRPr="006D0257">
              <w:rPr>
                <w:b/>
                <w:bCs/>
                <w:sz w:val="21"/>
                <w:szCs w:val="16"/>
                <w:lang w:val="en-US"/>
              </w:rPr>
              <w:t>Essential</w:t>
            </w:r>
          </w:p>
          <w:p w14:paraId="193453B9" w14:textId="77777777" w:rsidR="006D0257" w:rsidRPr="006D0257" w:rsidRDefault="006D0257" w:rsidP="006D0257">
            <w:pPr>
              <w:numPr>
                <w:ilvl w:val="0"/>
                <w:numId w:val="33"/>
              </w:numPr>
              <w:rPr>
                <w:sz w:val="21"/>
                <w:szCs w:val="16"/>
                <w:lang w:val="en-US"/>
              </w:rPr>
            </w:pPr>
            <w:r w:rsidRPr="006D0257">
              <w:rPr>
                <w:sz w:val="21"/>
                <w:szCs w:val="16"/>
                <w:lang w:val="en-US"/>
              </w:rPr>
              <w:t>Coreset for wideband (multiple coresets with one or more per LBT subband or multi-cluster coreset with one cluster per subband)</w:t>
            </w:r>
          </w:p>
          <w:p w14:paraId="077CA1A0" w14:textId="77777777" w:rsidR="006D0257" w:rsidRPr="006D0257" w:rsidRDefault="006D0257" w:rsidP="006D0257">
            <w:pPr>
              <w:rPr>
                <w:sz w:val="21"/>
                <w:szCs w:val="16"/>
                <w:lang w:val="en-US"/>
              </w:rPr>
            </w:pPr>
            <w:r w:rsidRPr="006D0257">
              <w:rPr>
                <w:b/>
                <w:bCs/>
                <w:sz w:val="21"/>
                <w:szCs w:val="16"/>
                <w:lang w:val="en-US"/>
              </w:rPr>
              <w:t>Optimizations</w:t>
            </w:r>
          </w:p>
          <w:p w14:paraId="066DC80F" w14:textId="53511A31" w:rsidR="006D0257" w:rsidRPr="00AC2B00" w:rsidRDefault="006D0257" w:rsidP="006D0257">
            <w:pPr>
              <w:numPr>
                <w:ilvl w:val="0"/>
                <w:numId w:val="33"/>
              </w:numPr>
              <w:rPr>
                <w:sz w:val="21"/>
                <w:szCs w:val="16"/>
                <w:lang w:val="en-US"/>
              </w:rPr>
            </w:pPr>
            <w:r w:rsidRPr="006D0257">
              <w:rPr>
                <w:sz w:val="21"/>
                <w:szCs w:val="16"/>
                <w:lang w:val="en-US"/>
              </w:rPr>
              <w:t>If PUSCH Alt 2 is also supported</w:t>
            </w:r>
          </w:p>
        </w:tc>
      </w:tr>
    </w:tbl>
    <w:p w14:paraId="79FF0F6E" w14:textId="77777777" w:rsidR="006D0257" w:rsidRDefault="006D0257" w:rsidP="00956F10">
      <w:pPr>
        <w:spacing w:afterLines="50" w:after="120"/>
        <w:jc w:val="both"/>
        <w:rPr>
          <w:rFonts w:eastAsia="ＭＳ 明朝"/>
          <w:sz w:val="22"/>
          <w:szCs w:val="22"/>
          <w:lang w:val="en-US"/>
        </w:rPr>
      </w:pPr>
    </w:p>
    <w:p w14:paraId="631A6163" w14:textId="1F5EFFC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B1697C">
        <w:rPr>
          <w:rFonts w:eastAsia="ＭＳ 明朝"/>
          <w:sz w:val="22"/>
          <w:szCs w:val="22"/>
          <w:lang w:val="en-US"/>
        </w:rPr>
        <w:t xml:space="preserve">further </w:t>
      </w:r>
      <w:r w:rsidR="00764120">
        <w:rPr>
          <w:rFonts w:eastAsia="ＭＳ 明朝"/>
          <w:sz w:val="22"/>
          <w:szCs w:val="22"/>
          <w:lang w:val="en-US"/>
        </w:rPr>
        <w:t xml:space="preserve">on the </w:t>
      </w:r>
      <w:r w:rsidR="009E2267">
        <w:rPr>
          <w:rFonts w:eastAsia="ＭＳ 明朝"/>
          <w:sz w:val="22"/>
          <w:szCs w:val="22"/>
          <w:lang w:val="en-US"/>
        </w:rPr>
        <w:t>wideband operation</w:t>
      </w:r>
      <w:r w:rsidR="00484F06">
        <w:rPr>
          <w:rFonts w:eastAsia="ＭＳ 明朝"/>
          <w:sz w:val="22"/>
          <w:szCs w:val="22"/>
          <w:lang w:val="en-US"/>
        </w:rPr>
        <w:t xml:space="preserve"> for NR-U</w:t>
      </w:r>
      <w:r w:rsidR="009E2267">
        <w:rPr>
          <w:rFonts w:eastAsia="ＭＳ 明朝"/>
          <w:sz w:val="22"/>
          <w:szCs w:val="22"/>
          <w:lang w:val="en-US"/>
        </w:rPr>
        <w:t>.</w:t>
      </w:r>
      <w:r w:rsidR="001012F3" w:rsidRPr="001012F3">
        <w:rPr>
          <w:rFonts w:eastAsia="ＭＳ 明朝" w:hint="eastAsia"/>
          <w:sz w:val="22"/>
          <w:szCs w:val="22"/>
          <w:lang w:val="en-US"/>
        </w:rPr>
        <w:t xml:space="preserve"> </w:t>
      </w:r>
    </w:p>
    <w:p w14:paraId="7BE7EC97" w14:textId="60B0DA97" w:rsidR="00BF6AB9" w:rsidRPr="00BF6AB9" w:rsidRDefault="00BF6AB9" w:rsidP="00BF6AB9">
      <w:pPr>
        <w:pStyle w:val="1"/>
        <w:numPr>
          <w:ilvl w:val="0"/>
          <w:numId w:val="6"/>
        </w:numPr>
        <w:spacing w:before="180" w:after="120"/>
        <w:rPr>
          <w:rStyle w:val="B10"/>
          <w:b/>
          <w:lang w:val="en-US"/>
        </w:rPr>
      </w:pPr>
      <w:r w:rsidRPr="00BF6AB9">
        <w:rPr>
          <w:rStyle w:val="B10"/>
          <w:b/>
          <w:lang w:val="en-US"/>
        </w:rPr>
        <w:t>UL wide</w:t>
      </w:r>
      <w:r w:rsidR="006E38B6">
        <w:rPr>
          <w:rStyle w:val="B10"/>
          <w:b/>
          <w:lang w:val="en-US"/>
        </w:rPr>
        <w:t>-</w:t>
      </w:r>
      <w:r w:rsidRPr="00BF6AB9">
        <w:rPr>
          <w:rStyle w:val="B10"/>
          <w:b/>
          <w:lang w:val="en-US"/>
        </w:rPr>
        <w:t>band operation in NR-U</w:t>
      </w:r>
    </w:p>
    <w:p w14:paraId="2EDE0D9F" w14:textId="151CD97E" w:rsidR="000835BC" w:rsidRPr="00E318DE" w:rsidRDefault="006E38B6" w:rsidP="003A43FF">
      <w:pPr>
        <w:spacing w:afterLines="50" w:after="120"/>
        <w:jc w:val="both"/>
        <w:rPr>
          <w:rFonts w:eastAsia="ＭＳ 明朝"/>
          <w:sz w:val="22"/>
          <w:szCs w:val="22"/>
          <w:lang w:val="en-US"/>
        </w:rPr>
      </w:pPr>
      <w:r w:rsidRPr="00E318DE">
        <w:rPr>
          <w:rFonts w:eastAsia="ＭＳ 明朝" w:hint="eastAsia"/>
          <w:sz w:val="22"/>
          <w:szCs w:val="22"/>
          <w:lang w:val="en-US"/>
        </w:rPr>
        <w:t>A</w:t>
      </w:r>
      <w:r w:rsidR="00F07F38">
        <w:rPr>
          <w:rFonts w:eastAsia="ＭＳ 明朝"/>
          <w:sz w:val="22"/>
          <w:szCs w:val="22"/>
          <w:lang w:val="en-US"/>
        </w:rPr>
        <w:t>t the RAN1#96bis</w:t>
      </w:r>
      <w:r w:rsidRPr="00E318DE">
        <w:rPr>
          <w:rFonts w:eastAsia="ＭＳ 明朝"/>
          <w:sz w:val="22"/>
          <w:szCs w:val="22"/>
          <w:lang w:val="en-US"/>
        </w:rPr>
        <w:t xml:space="preserve"> meeting, RAN1 made an agreement </w:t>
      </w:r>
      <w:r w:rsidR="000835BC" w:rsidRPr="00E318DE">
        <w:rPr>
          <w:rFonts w:eastAsia="ＭＳ 明朝"/>
          <w:sz w:val="22"/>
          <w:szCs w:val="22"/>
          <w:lang w:val="en-US"/>
        </w:rPr>
        <w:t xml:space="preserve">which has following alternatives </w:t>
      </w:r>
      <w:r w:rsidR="00081714" w:rsidRPr="00E318DE">
        <w:rPr>
          <w:rFonts w:eastAsia="ＭＳ 明朝"/>
          <w:sz w:val="22"/>
          <w:szCs w:val="22"/>
          <w:lang w:val="en-US"/>
        </w:rPr>
        <w:t>relat</w:t>
      </w:r>
      <w:r w:rsidR="00081714">
        <w:rPr>
          <w:rFonts w:eastAsia="ＭＳ 明朝"/>
          <w:sz w:val="22"/>
          <w:szCs w:val="22"/>
          <w:lang w:val="en-US"/>
        </w:rPr>
        <w:t>ed to</w:t>
      </w:r>
      <w:r w:rsidR="00081714" w:rsidRPr="00E318DE">
        <w:rPr>
          <w:rFonts w:eastAsia="ＭＳ 明朝"/>
          <w:sz w:val="22"/>
          <w:szCs w:val="22"/>
          <w:lang w:val="en-US"/>
        </w:rPr>
        <w:t xml:space="preserve"> </w:t>
      </w:r>
      <w:r w:rsidRPr="00E318DE">
        <w:rPr>
          <w:rFonts w:eastAsia="ＭＳ 明朝"/>
          <w:sz w:val="22"/>
          <w:szCs w:val="22"/>
          <w:lang w:val="en-US"/>
        </w:rPr>
        <w:t>UL wide-band operation</w:t>
      </w:r>
      <w:r w:rsidR="0014383A" w:rsidRPr="00E318DE">
        <w:rPr>
          <w:rFonts w:eastAsia="ＭＳ 明朝"/>
          <w:sz w:val="22"/>
          <w:szCs w:val="22"/>
          <w:lang w:val="en-US"/>
        </w:rPr>
        <w:t xml:space="preserve"> and at least support Alt. 1</w:t>
      </w:r>
      <w:r w:rsidRPr="00E318DE">
        <w:rPr>
          <w:rFonts w:eastAsia="ＭＳ 明朝"/>
          <w:sz w:val="22"/>
          <w:szCs w:val="22"/>
          <w:lang w:val="en-US"/>
        </w:rPr>
        <w:t>.</w:t>
      </w:r>
    </w:p>
    <w:p w14:paraId="6E5FC164" w14:textId="5ABFC25F" w:rsidR="000835BC" w:rsidRPr="00E318DE" w:rsidRDefault="000835BC" w:rsidP="003A43FF">
      <w:pPr>
        <w:numPr>
          <w:ilvl w:val="0"/>
          <w:numId w:val="24"/>
        </w:numPr>
        <w:snapToGrid w:val="0"/>
        <w:jc w:val="both"/>
        <w:rPr>
          <w:sz w:val="22"/>
          <w:szCs w:val="22"/>
          <w:lang w:val="en-US" w:eastAsia="x-none"/>
        </w:rPr>
      </w:pPr>
      <w:r w:rsidRPr="00E318DE">
        <w:rPr>
          <w:sz w:val="22"/>
          <w:szCs w:val="22"/>
          <w:lang w:eastAsia="x-none"/>
        </w:rPr>
        <w:t>Alt. 1: UE transmits the PUSCH only if CCA is successful at UE in all LBT bandwidths of the scheduled PUSCH.</w:t>
      </w:r>
    </w:p>
    <w:p w14:paraId="6A8B0CB7" w14:textId="77777777" w:rsidR="000835BC" w:rsidRPr="00E318DE" w:rsidRDefault="000835BC" w:rsidP="003A43FF">
      <w:pPr>
        <w:numPr>
          <w:ilvl w:val="0"/>
          <w:numId w:val="23"/>
        </w:numPr>
        <w:snapToGrid w:val="0"/>
        <w:jc w:val="both"/>
        <w:rPr>
          <w:sz w:val="22"/>
          <w:szCs w:val="22"/>
          <w:lang w:val="en-US" w:eastAsia="x-none"/>
        </w:rPr>
      </w:pPr>
      <w:r w:rsidRPr="00E318DE">
        <w:rPr>
          <w:sz w:val="22"/>
          <w:szCs w:val="22"/>
          <w:lang w:eastAsia="x-none"/>
        </w:rPr>
        <w:lastRenderedPageBreak/>
        <w:t xml:space="preserve">Alt. 2: </w:t>
      </w:r>
      <w:r w:rsidRPr="00E318DE">
        <w:rPr>
          <w:rFonts w:hint="eastAsia"/>
          <w:bCs/>
          <w:sz w:val="22"/>
          <w:szCs w:val="22"/>
          <w:lang w:eastAsia="x-none"/>
        </w:rPr>
        <w:t xml:space="preserve">UE transmits </w:t>
      </w:r>
      <w:r w:rsidRPr="00E318DE">
        <w:rPr>
          <w:bCs/>
          <w:sz w:val="22"/>
          <w:szCs w:val="22"/>
          <w:lang w:eastAsia="x-none"/>
        </w:rPr>
        <w:t xml:space="preserve">the PUSCH in all or a subset of LBT bandwidths of the scheduled PUSCH for which CCA is successful at the UE. </w:t>
      </w:r>
    </w:p>
    <w:p w14:paraId="7373BE31" w14:textId="77777777" w:rsidR="000835BC" w:rsidRPr="00E318DE" w:rsidRDefault="000835BC" w:rsidP="003A43FF">
      <w:pPr>
        <w:numPr>
          <w:ilvl w:val="1"/>
          <w:numId w:val="23"/>
        </w:numPr>
        <w:snapToGrid w:val="0"/>
        <w:jc w:val="both"/>
        <w:rPr>
          <w:sz w:val="22"/>
          <w:szCs w:val="22"/>
          <w:lang w:val="en-US" w:eastAsia="x-none"/>
        </w:rPr>
      </w:pPr>
      <w:r w:rsidRPr="00E318DE">
        <w:rPr>
          <w:sz w:val="22"/>
          <w:szCs w:val="22"/>
          <w:lang w:val="en-US" w:eastAsia="x-none"/>
        </w:rPr>
        <w:t>Decision on whether this alternative is supported will depend on feedback from RAN4</w:t>
      </w:r>
    </w:p>
    <w:p w14:paraId="3A54455A" w14:textId="77777777" w:rsidR="000835BC" w:rsidRPr="00E318DE" w:rsidRDefault="000835BC" w:rsidP="003A43FF">
      <w:pPr>
        <w:numPr>
          <w:ilvl w:val="1"/>
          <w:numId w:val="23"/>
        </w:numPr>
        <w:snapToGrid w:val="0"/>
        <w:jc w:val="both"/>
        <w:rPr>
          <w:sz w:val="22"/>
          <w:szCs w:val="22"/>
          <w:lang w:val="en-US" w:eastAsia="x-none"/>
        </w:rPr>
      </w:pPr>
      <w:r w:rsidRPr="00E318DE">
        <w:rPr>
          <w:rFonts w:hint="eastAsia"/>
          <w:bCs/>
          <w:sz w:val="22"/>
          <w:szCs w:val="22"/>
          <w:lang w:val="en-US" w:eastAsia="x-none"/>
        </w:rPr>
        <w:t>F</w:t>
      </w:r>
      <w:r w:rsidRPr="00E318DE">
        <w:rPr>
          <w:bCs/>
          <w:sz w:val="22"/>
          <w:szCs w:val="22"/>
          <w:lang w:val="en-US" w:eastAsia="x-none"/>
        </w:rPr>
        <w:t>FS on restrictions to the subset of LBT bandwidths, e.g., only contiguous LBT bandwidths allowed, based on feedback from RAN4</w:t>
      </w:r>
    </w:p>
    <w:p w14:paraId="35E34F1D" w14:textId="77777777" w:rsidR="00E267FA" w:rsidRPr="00E318DE" w:rsidRDefault="00E267FA" w:rsidP="003A43FF">
      <w:pPr>
        <w:spacing w:afterLines="50" w:after="120"/>
        <w:jc w:val="both"/>
        <w:rPr>
          <w:rFonts w:eastAsia="ＭＳ 明朝"/>
          <w:sz w:val="22"/>
          <w:szCs w:val="22"/>
          <w:lang w:val="en-US"/>
        </w:rPr>
      </w:pPr>
    </w:p>
    <w:p w14:paraId="17D98631" w14:textId="14030001" w:rsidR="00BF6AB9" w:rsidRPr="00E318DE" w:rsidRDefault="00BF6AB9" w:rsidP="003A43FF">
      <w:pPr>
        <w:spacing w:afterLines="50" w:after="120"/>
        <w:jc w:val="both"/>
        <w:rPr>
          <w:rFonts w:eastAsia="ＭＳ 明朝"/>
          <w:sz w:val="22"/>
          <w:szCs w:val="22"/>
          <w:lang w:val="en-US"/>
        </w:rPr>
      </w:pPr>
      <w:r w:rsidRPr="00E318DE">
        <w:rPr>
          <w:rFonts w:eastAsia="ＭＳ 明朝" w:hint="eastAsia"/>
          <w:sz w:val="22"/>
          <w:szCs w:val="22"/>
          <w:lang w:val="en-US"/>
        </w:rPr>
        <w:t>If partial interlace allocation within a wide UL</w:t>
      </w:r>
      <w:r w:rsidRPr="00E318DE">
        <w:rPr>
          <w:rFonts w:eastAsia="ＭＳ 明朝"/>
          <w:sz w:val="22"/>
          <w:szCs w:val="22"/>
          <w:lang w:val="en-US"/>
        </w:rPr>
        <w:t xml:space="preserve"> active</w:t>
      </w:r>
      <w:r w:rsidRPr="00E318DE">
        <w:rPr>
          <w:rFonts w:eastAsia="ＭＳ 明朝" w:hint="eastAsia"/>
          <w:sz w:val="22"/>
          <w:szCs w:val="22"/>
          <w:lang w:val="en-US"/>
        </w:rPr>
        <w:t xml:space="preserve"> BWP</w:t>
      </w:r>
      <w:r w:rsidRPr="00E318DE">
        <w:rPr>
          <w:rFonts w:eastAsia="ＭＳ 明朝"/>
          <w:sz w:val="22"/>
          <w:szCs w:val="22"/>
          <w:lang w:val="en-US"/>
        </w:rPr>
        <w:t xml:space="preserve"> is supported, UL traffic i.e., multiple UL transmissions from different UEs can be distributed across LBT sub-bands within the wide BWP. Assuming such operation, the necessity of wideband operation with </w:t>
      </w:r>
      <w:r w:rsidR="00E267FA" w:rsidRPr="00E318DE">
        <w:rPr>
          <w:rFonts w:eastAsia="ＭＳ 明朝"/>
          <w:sz w:val="22"/>
          <w:szCs w:val="22"/>
          <w:lang w:val="en-US"/>
        </w:rPr>
        <w:t>Alt. 2</w:t>
      </w:r>
      <w:r w:rsidRPr="00E318DE">
        <w:rPr>
          <w:rFonts w:eastAsia="ＭＳ 明朝"/>
          <w:sz w:val="22"/>
          <w:szCs w:val="22"/>
          <w:lang w:val="en-US"/>
        </w:rPr>
        <w:t xml:space="preserve"> for UL would be smaller than that for DL. Therefore, we propose to </w:t>
      </w:r>
      <w:r w:rsidR="00E4579B" w:rsidRPr="00E318DE">
        <w:rPr>
          <w:rFonts w:eastAsia="ＭＳ 明朝"/>
          <w:sz w:val="22"/>
          <w:szCs w:val="22"/>
          <w:lang w:val="en-US"/>
        </w:rPr>
        <w:t>de</w:t>
      </w:r>
      <w:r w:rsidR="00007B5C" w:rsidRPr="00E318DE">
        <w:rPr>
          <w:rFonts w:eastAsia="ＭＳ 明朝"/>
          <w:sz w:val="22"/>
          <w:szCs w:val="22"/>
          <w:lang w:val="en-US"/>
        </w:rPr>
        <w:t xml:space="preserve">prioritize </w:t>
      </w:r>
      <w:r w:rsidR="00081714">
        <w:rPr>
          <w:rFonts w:eastAsia="ＭＳ 明朝"/>
          <w:sz w:val="22"/>
          <w:szCs w:val="22"/>
          <w:lang w:val="en-US"/>
        </w:rPr>
        <w:t xml:space="preserve">support of </w:t>
      </w:r>
      <w:r w:rsidR="00007B5C" w:rsidRPr="00E318DE">
        <w:rPr>
          <w:rFonts w:eastAsia="ＭＳ 明朝"/>
          <w:sz w:val="22"/>
          <w:szCs w:val="22"/>
          <w:lang w:val="en-US"/>
        </w:rPr>
        <w:t>Alt. 2</w:t>
      </w:r>
      <w:r w:rsidRPr="00E318DE">
        <w:rPr>
          <w:rFonts w:eastAsia="ＭＳ 明朝"/>
          <w:sz w:val="22"/>
          <w:szCs w:val="22"/>
          <w:lang w:val="en-US"/>
        </w:rPr>
        <w:t xml:space="preserve"> for UL wideband operation</w:t>
      </w:r>
      <w:r w:rsidR="00007B5C" w:rsidRPr="00E318DE">
        <w:rPr>
          <w:rFonts w:eastAsia="ＭＳ 明朝"/>
          <w:sz w:val="22"/>
          <w:szCs w:val="22"/>
          <w:lang w:val="en-US"/>
        </w:rPr>
        <w:t xml:space="preserve"> </w:t>
      </w:r>
      <w:r w:rsidR="00081714">
        <w:rPr>
          <w:rFonts w:eastAsia="ＭＳ 明朝"/>
          <w:sz w:val="22"/>
          <w:szCs w:val="22"/>
          <w:lang w:val="en-US"/>
        </w:rPr>
        <w:t xml:space="preserve">in Rel-16 </w:t>
      </w:r>
      <w:r w:rsidR="00007B5C" w:rsidRPr="00E318DE">
        <w:rPr>
          <w:rFonts w:eastAsia="ＭＳ 明朝"/>
          <w:sz w:val="22"/>
          <w:szCs w:val="22"/>
          <w:lang w:val="en-US"/>
        </w:rPr>
        <w:t xml:space="preserve">regardless of RAN 4 reactions </w:t>
      </w:r>
      <w:r w:rsidR="00081714" w:rsidRPr="00E318DE">
        <w:rPr>
          <w:rFonts w:eastAsia="ＭＳ 明朝"/>
          <w:sz w:val="22"/>
          <w:szCs w:val="22"/>
          <w:lang w:val="en-US"/>
        </w:rPr>
        <w:t>r</w:t>
      </w:r>
      <w:r w:rsidR="00081714">
        <w:rPr>
          <w:rFonts w:eastAsia="ＭＳ 明朝"/>
          <w:sz w:val="22"/>
          <w:szCs w:val="22"/>
          <w:lang w:val="en-US"/>
        </w:rPr>
        <w:t>egarding</w:t>
      </w:r>
      <w:r w:rsidR="00081714" w:rsidRPr="00E318DE">
        <w:rPr>
          <w:rFonts w:eastAsia="ＭＳ 明朝"/>
          <w:sz w:val="22"/>
          <w:szCs w:val="22"/>
          <w:lang w:val="en-US"/>
        </w:rPr>
        <w:t xml:space="preserve"> </w:t>
      </w:r>
      <w:r w:rsidR="00007B5C" w:rsidRPr="00E318DE">
        <w:rPr>
          <w:rFonts w:eastAsia="ＭＳ 明朝"/>
          <w:sz w:val="22"/>
          <w:szCs w:val="22"/>
          <w:lang w:val="en-US"/>
        </w:rPr>
        <w:t>Alt. 2 operation</w:t>
      </w:r>
      <w:r w:rsidRPr="00E318DE">
        <w:rPr>
          <w:rFonts w:eastAsia="ＭＳ 明朝"/>
          <w:sz w:val="22"/>
          <w:szCs w:val="22"/>
          <w:lang w:val="en-US"/>
        </w:rPr>
        <w:t>.</w:t>
      </w:r>
      <w:r w:rsidR="00BE44CF" w:rsidRPr="00E318DE">
        <w:rPr>
          <w:rFonts w:eastAsia="ＭＳ 明朝"/>
          <w:sz w:val="22"/>
          <w:szCs w:val="22"/>
          <w:lang w:val="en-US"/>
        </w:rPr>
        <w:t xml:space="preserve"> Additionally, Alt. 2 operation isn’t applied for configured grant PUSCH and PUCCH in Rel-16 NR-U.</w:t>
      </w:r>
    </w:p>
    <w:p w14:paraId="65238204" w14:textId="754A9830" w:rsidR="00BF6AB9" w:rsidRPr="00E318DE" w:rsidRDefault="00BF6AB9" w:rsidP="003A43FF">
      <w:pPr>
        <w:spacing w:before="120" w:after="120"/>
        <w:jc w:val="both"/>
        <w:rPr>
          <w:rFonts w:eastAsia="Batang"/>
          <w:b/>
          <w:sz w:val="22"/>
          <w:szCs w:val="22"/>
          <w:lang w:eastAsia="ko-KR"/>
        </w:rPr>
      </w:pPr>
      <w:r w:rsidRPr="00E318DE">
        <w:rPr>
          <w:rFonts w:eastAsia="Batang"/>
          <w:b/>
          <w:sz w:val="22"/>
          <w:szCs w:val="22"/>
          <w:u w:val="single"/>
          <w:lang w:eastAsia="ko-KR"/>
        </w:rPr>
        <w:t xml:space="preserve">Proposal </w:t>
      </w:r>
      <w:r w:rsidR="005173D2">
        <w:rPr>
          <w:rFonts w:eastAsia="Batang"/>
          <w:b/>
          <w:sz w:val="22"/>
          <w:szCs w:val="22"/>
          <w:u w:val="single"/>
          <w:lang w:eastAsia="ko-KR"/>
        </w:rPr>
        <w:t>1</w:t>
      </w:r>
      <w:r w:rsidRPr="00E318DE">
        <w:rPr>
          <w:rFonts w:eastAsia="Batang"/>
          <w:b/>
          <w:sz w:val="22"/>
          <w:szCs w:val="22"/>
          <w:lang w:eastAsia="ko-KR"/>
        </w:rPr>
        <w:t xml:space="preserve">: For UL wideband operation in NR-U, </w:t>
      </w:r>
      <w:r w:rsidR="00B041A9" w:rsidRPr="00E318DE">
        <w:rPr>
          <w:rFonts w:eastAsia="Batang"/>
          <w:b/>
          <w:sz w:val="22"/>
          <w:szCs w:val="22"/>
          <w:lang w:eastAsia="ko-KR"/>
        </w:rPr>
        <w:t xml:space="preserve">the </w:t>
      </w:r>
      <w:r w:rsidR="00E7444D" w:rsidRPr="00E318DE">
        <w:rPr>
          <w:rFonts w:eastAsia="Batang"/>
          <w:b/>
          <w:sz w:val="22"/>
          <w:szCs w:val="22"/>
          <w:lang w:eastAsia="ko-KR"/>
        </w:rPr>
        <w:t xml:space="preserve">operation </w:t>
      </w:r>
      <w:r w:rsidR="00B041A9" w:rsidRPr="00E318DE">
        <w:rPr>
          <w:rFonts w:eastAsia="Batang"/>
          <w:b/>
          <w:sz w:val="22"/>
          <w:szCs w:val="22"/>
          <w:lang w:eastAsia="ko-KR"/>
        </w:rPr>
        <w:t>in which UE transmits the PUSCH in all or a subset of LBT bandwidths of the scheduled PUSCH for which CCA is successful at the UE is deprioritized</w:t>
      </w:r>
      <w:r w:rsidR="00081714">
        <w:rPr>
          <w:rFonts w:eastAsia="Batang"/>
          <w:b/>
          <w:sz w:val="22"/>
          <w:szCs w:val="22"/>
          <w:lang w:eastAsia="ko-KR"/>
        </w:rPr>
        <w:t xml:space="preserve"> in Rel-16</w:t>
      </w:r>
      <w:r w:rsidRPr="00E318DE">
        <w:rPr>
          <w:rFonts w:eastAsia="Batang"/>
          <w:b/>
          <w:sz w:val="22"/>
          <w:szCs w:val="22"/>
          <w:lang w:eastAsia="ko-KR"/>
        </w:rPr>
        <w:t>.</w:t>
      </w:r>
    </w:p>
    <w:p w14:paraId="0DAB339E" w14:textId="48639BFE" w:rsidR="00BF6AB9" w:rsidRDefault="00BF6AB9" w:rsidP="00BF6AB9">
      <w:pPr>
        <w:rPr>
          <w:lang w:val="en-US"/>
        </w:rPr>
      </w:pPr>
    </w:p>
    <w:p w14:paraId="30644CD2" w14:textId="77777777" w:rsidR="00AD52A3" w:rsidRPr="00BF6AB9" w:rsidRDefault="00AD52A3" w:rsidP="00BF6AB9">
      <w:pPr>
        <w:rPr>
          <w:lang w:val="en-US"/>
        </w:rPr>
      </w:pPr>
    </w:p>
    <w:p w14:paraId="3CD8C068" w14:textId="77777777" w:rsidR="00A25F9D" w:rsidRPr="00A25F9D" w:rsidRDefault="00A25F9D" w:rsidP="00A25F9D">
      <w:pPr>
        <w:pStyle w:val="afc"/>
        <w:keepNext/>
        <w:numPr>
          <w:ilvl w:val="0"/>
          <w:numId w:val="29"/>
        </w:numPr>
        <w:tabs>
          <w:tab w:val="left" w:pos="0"/>
        </w:tabs>
        <w:spacing w:before="240" w:after="60"/>
        <w:ind w:leftChars="0"/>
        <w:outlineLvl w:val="0"/>
        <w:rPr>
          <w:rStyle w:val="B10"/>
          <w:rFonts w:ascii="Arial" w:hAnsi="Arial"/>
          <w:vanish/>
          <w:kern w:val="28"/>
          <w:sz w:val="28"/>
        </w:rPr>
      </w:pPr>
    </w:p>
    <w:p w14:paraId="36D0D03B" w14:textId="77777777" w:rsidR="00A25F9D" w:rsidRPr="00A25F9D" w:rsidRDefault="00A25F9D" w:rsidP="00A25F9D">
      <w:pPr>
        <w:pStyle w:val="afc"/>
        <w:keepNext/>
        <w:numPr>
          <w:ilvl w:val="0"/>
          <w:numId w:val="29"/>
        </w:numPr>
        <w:tabs>
          <w:tab w:val="left" w:pos="0"/>
        </w:tabs>
        <w:spacing w:before="240" w:after="60"/>
        <w:ind w:leftChars="0"/>
        <w:outlineLvl w:val="0"/>
        <w:rPr>
          <w:rStyle w:val="B10"/>
          <w:rFonts w:ascii="Arial" w:hAnsi="Arial"/>
          <w:vanish/>
          <w:kern w:val="28"/>
          <w:sz w:val="28"/>
        </w:rPr>
      </w:pPr>
    </w:p>
    <w:p w14:paraId="1749FDFD" w14:textId="2D72B49F" w:rsidR="00B379A5" w:rsidRDefault="00A25F9D" w:rsidP="00EB42F6">
      <w:pPr>
        <w:pStyle w:val="1"/>
        <w:numPr>
          <w:ilvl w:val="0"/>
          <w:numId w:val="29"/>
        </w:numPr>
        <w:rPr>
          <w:rStyle w:val="B10"/>
          <w:b/>
        </w:rPr>
      </w:pPr>
      <w:r w:rsidRPr="00A25F9D">
        <w:rPr>
          <w:rStyle w:val="B10"/>
          <w:rFonts w:hint="eastAsia"/>
          <w:b/>
        </w:rPr>
        <w:t>M</w:t>
      </w:r>
      <w:r w:rsidRPr="00A25F9D">
        <w:rPr>
          <w:rStyle w:val="B10"/>
          <w:b/>
        </w:rPr>
        <w:t>echanism to identify gNB transmission sub-band(s) for UE</w:t>
      </w:r>
    </w:p>
    <w:p w14:paraId="162CFED6" w14:textId="229EDAFD" w:rsidR="008D58DD" w:rsidRDefault="00BE2FC8" w:rsidP="00634602">
      <w:pPr>
        <w:spacing w:afterLines="50" w:after="120"/>
        <w:jc w:val="both"/>
        <w:rPr>
          <w:rFonts w:eastAsia="ＭＳ 明朝"/>
          <w:sz w:val="22"/>
          <w:szCs w:val="22"/>
          <w:lang w:val="en-US"/>
        </w:rPr>
      </w:pPr>
      <w:r>
        <w:rPr>
          <w:rFonts w:eastAsia="ＭＳ 明朝"/>
          <w:sz w:val="22"/>
          <w:szCs w:val="22"/>
        </w:rPr>
        <w:t xml:space="preserve">In the previous RAN1 meeting, </w:t>
      </w:r>
      <w:r w:rsidR="008D58DD">
        <w:rPr>
          <w:rFonts w:eastAsia="ＭＳ 明朝"/>
          <w:sz w:val="22"/>
          <w:szCs w:val="22"/>
          <w:lang w:val="en-US"/>
        </w:rPr>
        <w:t>RAN1 made agreements regarding explicit indication of available (or unavailable) carriers/LBT bandwidths by using GC-PDCCH. Details on signaling are discussed and proposed in our companion contribution [3]. Here we discuss on how to identify gNB’s transmission LBT bandwidths at UE for the beginning of DL transmission burst.</w:t>
      </w:r>
    </w:p>
    <w:p w14:paraId="1FC05264" w14:textId="779EF009" w:rsidR="000040F4" w:rsidRDefault="000040F4" w:rsidP="00BE2FC8">
      <w:pPr>
        <w:spacing w:afterLines="50" w:after="120"/>
        <w:jc w:val="both"/>
        <w:rPr>
          <w:rFonts w:eastAsia="ＭＳ 明朝"/>
          <w:sz w:val="22"/>
          <w:szCs w:val="22"/>
          <w:lang w:val="en-US"/>
        </w:rPr>
      </w:pPr>
      <w:r>
        <w:rPr>
          <w:rFonts w:eastAsia="ＭＳ 明朝" w:hint="eastAsia"/>
          <w:sz w:val="22"/>
          <w:szCs w:val="22"/>
          <w:lang w:val="en-US"/>
        </w:rPr>
        <w:t>First, there are two types of wideband operations</w:t>
      </w:r>
      <w:r>
        <w:rPr>
          <w:rFonts w:eastAsia="ＭＳ 明朝"/>
          <w:sz w:val="22"/>
          <w:szCs w:val="22"/>
          <w:lang w:val="en-US"/>
        </w:rPr>
        <w:t xml:space="preserve"> as below. In case 1 operation, it is not necessary for UE to identify gNB’s transmission LBT bandwidths. Therefore, following discussion is for case 2 operation. </w:t>
      </w:r>
    </w:p>
    <w:p w14:paraId="452D3CED" w14:textId="45469621" w:rsidR="000040F4" w:rsidRPr="000040F4" w:rsidRDefault="000040F4" w:rsidP="00BE2FC8">
      <w:pPr>
        <w:pStyle w:val="afc"/>
        <w:numPr>
          <w:ilvl w:val="0"/>
          <w:numId w:val="33"/>
        </w:numPr>
        <w:spacing w:afterLines="50" w:after="120"/>
        <w:ind w:leftChars="0"/>
        <w:jc w:val="both"/>
        <w:rPr>
          <w:rFonts w:eastAsia="ＭＳ 明朝"/>
          <w:sz w:val="22"/>
          <w:szCs w:val="22"/>
          <w:lang w:val="en-US"/>
        </w:rPr>
      </w:pPr>
      <w:r w:rsidRPr="000040F4">
        <w:rPr>
          <w:rFonts w:eastAsia="ＭＳ 明朝" w:hint="eastAsia"/>
          <w:sz w:val="22"/>
          <w:szCs w:val="22"/>
          <w:lang w:val="en-US"/>
        </w:rPr>
        <w:t>Case 1</w:t>
      </w:r>
      <w:r w:rsidR="00D87CCF">
        <w:rPr>
          <w:rFonts w:eastAsia="ＭＳ 明朝"/>
          <w:sz w:val="22"/>
          <w:szCs w:val="22"/>
          <w:lang w:val="en-US"/>
        </w:rPr>
        <w:t xml:space="preserve"> (Option 2 in previous agreement)</w:t>
      </w:r>
      <w:r w:rsidRPr="000040F4">
        <w:rPr>
          <w:rFonts w:eastAsia="ＭＳ 明朝" w:hint="eastAsia"/>
          <w:sz w:val="22"/>
          <w:szCs w:val="22"/>
          <w:lang w:val="en-US"/>
        </w:rPr>
        <w:t xml:space="preserve">: </w:t>
      </w:r>
      <w:r w:rsidRPr="000040F4">
        <w:rPr>
          <w:rFonts w:eastAsia="ＭＳ 明朝"/>
          <w:sz w:val="22"/>
          <w:szCs w:val="22"/>
          <w:lang w:val="en-US"/>
        </w:rPr>
        <w:t>Multiple BWPs can be configured, single BWP activated, gNB may transmit PDSCH on whole of single active BWP when CCA is successful for all LBT bandwidths within the active BWP at gNB</w:t>
      </w:r>
    </w:p>
    <w:p w14:paraId="05F3A06F" w14:textId="05B32947" w:rsidR="000040F4" w:rsidRPr="000040F4" w:rsidRDefault="000040F4" w:rsidP="00BE2FC8">
      <w:pPr>
        <w:pStyle w:val="afc"/>
        <w:numPr>
          <w:ilvl w:val="0"/>
          <w:numId w:val="33"/>
        </w:numPr>
        <w:spacing w:afterLines="50" w:after="120"/>
        <w:ind w:leftChars="0"/>
        <w:jc w:val="both"/>
        <w:rPr>
          <w:rFonts w:eastAsia="ＭＳ 明朝"/>
          <w:sz w:val="22"/>
          <w:szCs w:val="22"/>
          <w:lang w:val="en-US"/>
        </w:rPr>
      </w:pPr>
      <w:r>
        <w:rPr>
          <w:rFonts w:eastAsia="ＭＳ 明朝"/>
          <w:sz w:val="22"/>
          <w:szCs w:val="22"/>
          <w:lang w:val="en-US"/>
        </w:rPr>
        <w:t>Case 2</w:t>
      </w:r>
      <w:r w:rsidR="00D87CCF">
        <w:rPr>
          <w:rFonts w:eastAsia="ＭＳ 明朝"/>
          <w:sz w:val="22"/>
          <w:szCs w:val="22"/>
          <w:lang w:val="en-US"/>
        </w:rPr>
        <w:t xml:space="preserve"> (Option 3 in previous agreement)</w:t>
      </w:r>
      <w:r>
        <w:rPr>
          <w:rFonts w:eastAsia="ＭＳ 明朝"/>
          <w:sz w:val="22"/>
          <w:szCs w:val="22"/>
          <w:lang w:val="en-US"/>
        </w:rPr>
        <w:t xml:space="preserve">: </w:t>
      </w:r>
      <w:r w:rsidR="008B74BE" w:rsidRPr="000040F4">
        <w:rPr>
          <w:rFonts w:eastAsia="ＭＳ 明朝"/>
          <w:sz w:val="22"/>
          <w:szCs w:val="22"/>
          <w:lang w:val="en-US"/>
        </w:rPr>
        <w:t>Multiple BWPs can be configured, single BWP activated, gNB may transmit PDSCH on part or whole of single active BWP where CCA is successful at gNB</w:t>
      </w:r>
    </w:p>
    <w:p w14:paraId="2B553420" w14:textId="63C53A50" w:rsidR="008D58DD" w:rsidRDefault="008D58DD" w:rsidP="00E53AF9">
      <w:pPr>
        <w:spacing w:afterLines="50" w:after="120"/>
        <w:jc w:val="both"/>
        <w:rPr>
          <w:rFonts w:eastAsia="ＭＳ 明朝"/>
          <w:sz w:val="22"/>
          <w:szCs w:val="22"/>
          <w:lang w:val="en-US"/>
        </w:rPr>
      </w:pPr>
      <w:r>
        <w:rPr>
          <w:rFonts w:eastAsia="ＭＳ 明朝"/>
          <w:sz w:val="22"/>
          <w:szCs w:val="22"/>
          <w:lang w:val="en-US"/>
        </w:rPr>
        <w:t>For the explicit indication mechanism, gNB needs to send appropriate contents via GC-PDCCH according to LBT results. So, at the beginning of</w:t>
      </w:r>
      <w:r w:rsidR="00082450">
        <w:rPr>
          <w:rFonts w:eastAsia="ＭＳ 明朝"/>
          <w:sz w:val="22"/>
          <w:szCs w:val="22"/>
          <w:lang w:val="en-US"/>
        </w:rPr>
        <w:t xml:space="preserve"> DL transmission burst, it may</w:t>
      </w:r>
      <w:r>
        <w:rPr>
          <w:rFonts w:eastAsia="ＭＳ 明朝"/>
          <w:sz w:val="22"/>
          <w:szCs w:val="22"/>
          <w:lang w:val="en-US"/>
        </w:rPr>
        <w:t xml:space="preserve"> not be feasible to send GC-PDCCH with appropriate channel occupancy frequency domain structure indication</w:t>
      </w:r>
      <w:r w:rsidR="00405B09">
        <w:rPr>
          <w:rFonts w:eastAsia="ＭＳ 明朝"/>
          <w:sz w:val="22"/>
          <w:szCs w:val="22"/>
          <w:lang w:val="en-US"/>
        </w:rPr>
        <w:t xml:space="preserve"> at least for some gNB</w:t>
      </w:r>
      <w:r>
        <w:rPr>
          <w:rFonts w:eastAsia="ＭＳ 明朝"/>
          <w:sz w:val="22"/>
          <w:szCs w:val="22"/>
          <w:lang w:val="en-US"/>
        </w:rPr>
        <w:t xml:space="preserve">. </w:t>
      </w:r>
      <w:r w:rsidR="00082450">
        <w:rPr>
          <w:rFonts w:eastAsia="ＭＳ 明朝"/>
          <w:sz w:val="22"/>
          <w:szCs w:val="22"/>
          <w:lang w:val="en-US"/>
        </w:rPr>
        <w:t xml:space="preserve">The identification of channel occupancy frequency domain structure at the beginning of DL transmission burst should be based on the detection of DL signal and/or channel at the UE. </w:t>
      </w:r>
      <w:r w:rsidR="000675B0">
        <w:rPr>
          <w:rFonts w:eastAsia="ＭＳ 明朝"/>
          <w:sz w:val="22"/>
          <w:szCs w:val="22"/>
          <w:lang w:val="en-US"/>
        </w:rPr>
        <w:t xml:space="preserve">For PDCCH/GC-PDCCH detection, UE should anyway perform PDCCH blind detection on every LBT bandwidth assuming multiple CORESETs confined within each LBT bandwidth are configured and associated with search space configuration for mini-slot based monitoring. For PDSCH/PUSCH resource allocation, </w:t>
      </w:r>
      <w:r w:rsidR="00AC0801">
        <w:rPr>
          <w:rFonts w:eastAsia="ＭＳ 明朝"/>
          <w:sz w:val="22"/>
          <w:szCs w:val="22"/>
          <w:lang w:val="en-US"/>
        </w:rPr>
        <w:t>UE can just follow resource allocation indication in DCI. gNB capable of changing DCI contents dynamically according to LBT outcome can allocate PDSCH/PUSCH resource from PDCCH in one LBT bandwidth to multiple available LBT bandwidth</w:t>
      </w:r>
      <w:r w:rsidR="00CF6898">
        <w:rPr>
          <w:rFonts w:eastAsia="ＭＳ 明朝"/>
          <w:sz w:val="22"/>
          <w:szCs w:val="22"/>
          <w:lang w:val="en-US"/>
        </w:rPr>
        <w:t>s</w:t>
      </w:r>
      <w:r w:rsidR="00AC0801">
        <w:rPr>
          <w:rFonts w:eastAsia="ＭＳ 明朝"/>
          <w:sz w:val="22"/>
          <w:szCs w:val="22"/>
          <w:lang w:val="en-US"/>
        </w:rPr>
        <w:t>. gNB not capable of changing DCI contents dynamically according to LBT outcome can allocate PDSCH/PUSCH resource from PDCCH in one LBT bandwidth to the same LBT bandwidth. Therefore, no special handling would be necessary to identify gNB’s transmission LBT bandwidths at UE for the beginning of DL transmission burst.</w:t>
      </w:r>
    </w:p>
    <w:p w14:paraId="27DDB59C" w14:textId="7AA8A902" w:rsidR="000040F4" w:rsidRPr="000040F4" w:rsidRDefault="000040F4" w:rsidP="00E53AF9">
      <w:pPr>
        <w:spacing w:before="120" w:after="120"/>
        <w:jc w:val="both"/>
        <w:rPr>
          <w:rFonts w:eastAsia="Batang"/>
          <w:b/>
          <w:sz w:val="22"/>
          <w:szCs w:val="22"/>
          <w:lang w:eastAsia="ko-KR"/>
        </w:rPr>
      </w:pPr>
      <w:r w:rsidRPr="00E318DE">
        <w:rPr>
          <w:rFonts w:eastAsia="Batang"/>
          <w:b/>
          <w:sz w:val="22"/>
          <w:szCs w:val="22"/>
          <w:u w:val="single"/>
          <w:lang w:eastAsia="ko-KR"/>
        </w:rPr>
        <w:t xml:space="preserve">Proposal </w:t>
      </w:r>
      <w:r w:rsidR="00D87CCF">
        <w:rPr>
          <w:rFonts w:eastAsia="Batang"/>
          <w:b/>
          <w:sz w:val="22"/>
          <w:szCs w:val="22"/>
          <w:u w:val="single"/>
          <w:lang w:eastAsia="ko-KR"/>
        </w:rPr>
        <w:t>2</w:t>
      </w:r>
      <w:r w:rsidRPr="00E318DE">
        <w:rPr>
          <w:rFonts w:eastAsia="Batang"/>
          <w:b/>
          <w:sz w:val="22"/>
          <w:szCs w:val="22"/>
          <w:lang w:eastAsia="ko-KR"/>
        </w:rPr>
        <w:t xml:space="preserve">: </w:t>
      </w:r>
      <w:r w:rsidR="00CF6898">
        <w:rPr>
          <w:rFonts w:eastAsia="Batang"/>
          <w:b/>
          <w:sz w:val="22"/>
          <w:szCs w:val="22"/>
          <w:lang w:eastAsia="ko-KR"/>
        </w:rPr>
        <w:t xml:space="preserve">In case of wideband operation case 2 where </w:t>
      </w:r>
      <w:r w:rsidR="00CF6898" w:rsidRPr="00CF6898">
        <w:rPr>
          <w:rFonts w:eastAsia="Batang"/>
          <w:b/>
          <w:sz w:val="22"/>
          <w:szCs w:val="22"/>
          <w:lang w:eastAsia="ko-KR"/>
        </w:rPr>
        <w:t>gNB may transmit PDSCH on part or whole of single active BWP where CCA is successful</w:t>
      </w:r>
      <w:r>
        <w:rPr>
          <w:rFonts w:eastAsia="Batang"/>
          <w:b/>
          <w:sz w:val="22"/>
          <w:szCs w:val="22"/>
          <w:lang w:eastAsia="ko-KR"/>
        </w:rPr>
        <w:t>, UE performs blind detection of PDCCH and/or DMRS on every LBT bandwidth</w:t>
      </w:r>
      <w:r w:rsidR="000E15E6">
        <w:rPr>
          <w:rFonts w:eastAsia="Batang"/>
          <w:b/>
          <w:sz w:val="22"/>
          <w:szCs w:val="22"/>
          <w:lang w:eastAsia="ko-KR"/>
        </w:rPr>
        <w:t xml:space="preserve"> according to CORESET/search space configurations</w:t>
      </w:r>
      <w:r>
        <w:rPr>
          <w:rFonts w:eastAsia="Batang"/>
          <w:b/>
          <w:sz w:val="22"/>
          <w:szCs w:val="22"/>
          <w:lang w:eastAsia="ko-KR"/>
        </w:rPr>
        <w:t>.</w:t>
      </w:r>
    </w:p>
    <w:p w14:paraId="50930562" w14:textId="56CB561D" w:rsidR="008D58DD" w:rsidRPr="000040F4" w:rsidRDefault="008D58DD" w:rsidP="008D58DD">
      <w:pPr>
        <w:spacing w:afterLines="50" w:after="120"/>
        <w:rPr>
          <w:rFonts w:eastAsia="ＭＳ 明朝"/>
          <w:sz w:val="22"/>
          <w:szCs w:val="22"/>
        </w:rPr>
      </w:pPr>
    </w:p>
    <w:p w14:paraId="51B37E9C" w14:textId="77777777" w:rsidR="008D58DD" w:rsidRPr="00E318DE" w:rsidRDefault="008D58DD" w:rsidP="008D58DD">
      <w:pPr>
        <w:spacing w:afterLines="50" w:after="120"/>
        <w:rPr>
          <w:rFonts w:eastAsia="ＭＳ 明朝"/>
          <w:sz w:val="22"/>
          <w:szCs w:val="22"/>
          <w:lang w:val="en-US"/>
        </w:rPr>
      </w:pPr>
    </w:p>
    <w:p w14:paraId="20C32964" w14:textId="4A742C4F" w:rsidR="00CE7DF9" w:rsidRPr="00AC4AA9" w:rsidRDefault="00594B3C" w:rsidP="00CE7DF9">
      <w:pPr>
        <w:pStyle w:val="1"/>
        <w:numPr>
          <w:ilvl w:val="0"/>
          <w:numId w:val="29"/>
        </w:numPr>
        <w:rPr>
          <w:rFonts w:eastAsia="ＭＳ 明朝"/>
          <w:b/>
          <w:lang w:eastAsia="en-US"/>
        </w:rPr>
      </w:pPr>
      <w:r w:rsidRPr="00AC4AA9">
        <w:rPr>
          <w:rStyle w:val="B10"/>
          <w:b/>
        </w:rPr>
        <w:t>CORESET/PDCCH configuration for wide-band operatio</w:t>
      </w:r>
      <w:r w:rsidR="00CE7DF9" w:rsidRPr="00AC4AA9">
        <w:rPr>
          <w:rStyle w:val="B10"/>
          <w:rFonts w:hint="eastAsia"/>
          <w:b/>
          <w:lang w:eastAsia="ja-JP"/>
        </w:rPr>
        <w:t>n</w:t>
      </w:r>
    </w:p>
    <w:p w14:paraId="10F8E14D" w14:textId="46651D18" w:rsidR="00305E15" w:rsidRDefault="000A3357" w:rsidP="00254220">
      <w:pPr>
        <w:spacing w:afterLines="50" w:after="120"/>
        <w:jc w:val="both"/>
        <w:rPr>
          <w:rFonts w:eastAsia="ＭＳ 明朝"/>
          <w:sz w:val="22"/>
          <w:szCs w:val="22"/>
          <w:lang w:val="en-US"/>
        </w:rPr>
      </w:pPr>
      <w:r w:rsidRPr="00C25A32">
        <w:rPr>
          <w:rFonts w:eastAsia="ＭＳ 明朝"/>
          <w:sz w:val="22"/>
          <w:szCs w:val="22"/>
          <w:lang w:val="en-US"/>
        </w:rPr>
        <w:t xml:space="preserve">Regarding the association between search space configuration and CORESET configuration, following </w:t>
      </w:r>
      <w:r w:rsidR="00254220" w:rsidRPr="00C25A32">
        <w:rPr>
          <w:rFonts w:eastAsia="ＭＳ 明朝"/>
          <w:sz w:val="22"/>
          <w:szCs w:val="22"/>
          <w:lang w:val="en-US"/>
        </w:rPr>
        <w:t>agreement was made in the last RAN1 meeting</w:t>
      </w:r>
      <w:r w:rsidR="00CB3643" w:rsidRPr="00C25A32">
        <w:rPr>
          <w:rFonts w:eastAsia="ＭＳ 明朝"/>
          <w:sz w:val="22"/>
          <w:szCs w:val="22"/>
          <w:lang w:val="en-US"/>
        </w:rPr>
        <w:t xml:space="preserve"> as shown in Section 1</w:t>
      </w:r>
      <w:r w:rsidR="00254220" w:rsidRPr="00C25A32">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54220" w14:paraId="3A307FC5" w14:textId="77777777" w:rsidTr="00E4248B">
        <w:tc>
          <w:tcPr>
            <w:tcW w:w="9962" w:type="dxa"/>
          </w:tcPr>
          <w:p w14:paraId="440E9057" w14:textId="77777777" w:rsidR="00254220" w:rsidRPr="00F66735" w:rsidRDefault="00254220" w:rsidP="00E4248B">
            <w:pPr>
              <w:spacing w:after="160" w:line="256" w:lineRule="auto"/>
              <w:contextualSpacing/>
              <w:jc w:val="both"/>
              <w:rPr>
                <w:rFonts w:ascii="Times" w:eastAsia="Batang" w:hAnsi="Times"/>
                <w:sz w:val="20"/>
                <w:szCs w:val="24"/>
                <w:lang w:val="en-US" w:eastAsia="x-none"/>
              </w:rPr>
            </w:pPr>
            <w:r w:rsidRPr="00F66735">
              <w:rPr>
                <w:rFonts w:ascii="Times" w:eastAsia="Batang" w:hAnsi="Times"/>
                <w:sz w:val="20"/>
                <w:szCs w:val="24"/>
                <w:highlight w:val="green"/>
                <w:lang w:val="en-US" w:eastAsia="x-none"/>
              </w:rPr>
              <w:t>Agreement:</w:t>
            </w:r>
          </w:p>
          <w:p w14:paraId="7DC442BA" w14:textId="77777777" w:rsidR="00254220" w:rsidRPr="00F66735" w:rsidRDefault="00254220" w:rsidP="00E4248B">
            <w:pPr>
              <w:rPr>
                <w:rFonts w:ascii="Times" w:eastAsia="Batang" w:hAnsi="Times"/>
                <w:sz w:val="20"/>
                <w:szCs w:val="24"/>
                <w:lang w:eastAsia="ko-KR"/>
              </w:rPr>
            </w:pPr>
            <w:r w:rsidRPr="00F66735">
              <w:rPr>
                <w:rFonts w:ascii="Times" w:eastAsia="Batang" w:hAnsi="Times"/>
                <w:sz w:val="20"/>
                <w:szCs w:val="24"/>
                <w:lang w:eastAsia="ko-KR"/>
              </w:rPr>
              <w:t xml:space="preserve">For CORESET configuration in a serving cell with carrier bandwidth greater than LBT bandwidth, </w:t>
            </w:r>
          </w:p>
          <w:p w14:paraId="6D40D3B3" w14:textId="77777777" w:rsidR="00254220" w:rsidRPr="00F66735" w:rsidRDefault="00254220" w:rsidP="00E4248B">
            <w:pPr>
              <w:numPr>
                <w:ilvl w:val="0"/>
                <w:numId w:val="41"/>
              </w:numPr>
              <w:spacing w:after="160" w:line="256" w:lineRule="auto"/>
              <w:ind w:left="720"/>
              <w:contextualSpacing/>
              <w:jc w:val="both"/>
              <w:rPr>
                <w:rFonts w:ascii="Times" w:eastAsia="Batang" w:hAnsi="Times"/>
                <w:sz w:val="20"/>
                <w:szCs w:val="24"/>
                <w:lang w:val="en-US" w:eastAsia="x-none"/>
              </w:rPr>
            </w:pPr>
            <w:r w:rsidRPr="00F66735">
              <w:rPr>
                <w:rFonts w:ascii="Times" w:eastAsia="Batang" w:hAnsi="Times"/>
                <w:sz w:val="20"/>
                <w:szCs w:val="24"/>
                <w:lang w:val="en-US" w:eastAsia="x-none"/>
              </w:rPr>
              <w:t xml:space="preserve">For the case where a CORESET is confined within a LBT bandwidth, the search space set configuration </w:t>
            </w:r>
            <w:r w:rsidRPr="00F66735">
              <w:rPr>
                <w:rFonts w:ascii="Times" w:eastAsia="Batang" w:hAnsi="Times"/>
                <w:sz w:val="20"/>
                <w:szCs w:val="24"/>
                <w:lang w:eastAsia="x-none"/>
              </w:rPr>
              <w:t>associated with the CORESET can have multiple monitoring locations in the frequency domain (per LBT bandwidth)</w:t>
            </w:r>
          </w:p>
          <w:p w14:paraId="6B067D39" w14:textId="77777777" w:rsidR="00254220" w:rsidRPr="00F66735" w:rsidRDefault="00254220" w:rsidP="00E4248B">
            <w:pPr>
              <w:numPr>
                <w:ilvl w:val="1"/>
                <w:numId w:val="41"/>
              </w:numPr>
              <w:spacing w:after="160" w:line="256" w:lineRule="auto"/>
              <w:ind w:left="1440"/>
              <w:contextualSpacing/>
              <w:jc w:val="both"/>
              <w:rPr>
                <w:rFonts w:ascii="Times" w:eastAsia="Batang" w:hAnsi="Times"/>
                <w:sz w:val="20"/>
                <w:szCs w:val="24"/>
                <w:lang w:val="en-US" w:eastAsia="x-none"/>
              </w:rPr>
            </w:pPr>
            <w:r w:rsidRPr="00F66735">
              <w:rPr>
                <w:rFonts w:ascii="Times" w:eastAsia="Batang" w:hAnsi="Times"/>
                <w:sz w:val="20"/>
                <w:szCs w:val="24"/>
                <w:lang w:val="en-US" w:eastAsia="x-none"/>
              </w:rPr>
              <w:t>Send an LS to RAN2 informing them of this agreement and providing clarifications on the above if necessary</w:t>
            </w:r>
          </w:p>
          <w:p w14:paraId="72FEF601" w14:textId="77777777" w:rsidR="00254220" w:rsidRPr="00F66735" w:rsidRDefault="00254220" w:rsidP="00E4248B">
            <w:pPr>
              <w:numPr>
                <w:ilvl w:val="0"/>
                <w:numId w:val="41"/>
              </w:numPr>
              <w:spacing w:after="160" w:line="256" w:lineRule="auto"/>
              <w:ind w:left="720"/>
              <w:contextualSpacing/>
              <w:jc w:val="both"/>
              <w:rPr>
                <w:rFonts w:eastAsia="游明朝"/>
                <w:sz w:val="20"/>
                <w:lang w:val="en-US"/>
              </w:rPr>
            </w:pPr>
            <w:r w:rsidRPr="00F66735">
              <w:rPr>
                <w:rFonts w:ascii="Times" w:eastAsia="Batang" w:hAnsi="Times"/>
                <w:sz w:val="20"/>
                <w:szCs w:val="24"/>
                <w:lang w:eastAsia="x-none"/>
              </w:rPr>
              <w:t>Note: For scenarios in which gNB transmits PDCCH/PDSCH on a single BWP if CCA is successful at gNB for the whole BWP, CORESET(s) need not all be confined within an LBT bandwidth, and no specification impact is foreseen</w:t>
            </w:r>
          </w:p>
        </w:tc>
      </w:tr>
    </w:tbl>
    <w:p w14:paraId="721BA4A7" w14:textId="0D481C67" w:rsidR="00254220" w:rsidRPr="008549DC" w:rsidRDefault="00CB3643" w:rsidP="00254220">
      <w:pPr>
        <w:spacing w:afterLines="50" w:after="120"/>
        <w:jc w:val="both"/>
        <w:rPr>
          <w:rFonts w:eastAsia="ＭＳ 明朝"/>
          <w:sz w:val="22"/>
          <w:szCs w:val="22"/>
        </w:rPr>
      </w:pPr>
      <w:r w:rsidRPr="00C25A32">
        <w:rPr>
          <w:rFonts w:eastAsia="ＭＳ 明朝" w:hint="eastAsia"/>
          <w:sz w:val="22"/>
          <w:szCs w:val="22"/>
        </w:rPr>
        <w:t xml:space="preserve">However, </w:t>
      </w:r>
      <w:r w:rsidRPr="00C25A32">
        <w:rPr>
          <w:rFonts w:eastAsia="ＭＳ 明朝"/>
          <w:sz w:val="22"/>
          <w:szCs w:val="22"/>
        </w:rPr>
        <w:t xml:space="preserve">according to Rel-15 rule, the monitoring location in the frequency domain is indicated by </w:t>
      </w:r>
      <w:r w:rsidRPr="00C25A32">
        <w:rPr>
          <w:rFonts w:eastAsia="ＭＳ 明朝"/>
          <w:i/>
          <w:sz w:val="22"/>
          <w:szCs w:val="22"/>
        </w:rPr>
        <w:t>frequencyDomainResources</w:t>
      </w:r>
      <w:r w:rsidRPr="00C25A32">
        <w:rPr>
          <w:rFonts w:eastAsia="ＭＳ 明朝"/>
          <w:sz w:val="22"/>
          <w:szCs w:val="22"/>
        </w:rPr>
        <w:t xml:space="preserve"> in </w:t>
      </w:r>
      <w:r w:rsidRPr="00C25A32">
        <w:rPr>
          <w:rFonts w:eastAsia="ＭＳ 明朝"/>
          <w:i/>
          <w:sz w:val="22"/>
          <w:szCs w:val="22"/>
        </w:rPr>
        <w:t>ControlResourceSet</w:t>
      </w:r>
      <w:r w:rsidR="00F463BA" w:rsidRPr="00C25A32">
        <w:rPr>
          <w:rFonts w:eastAsia="ＭＳ 明朝"/>
          <w:i/>
          <w:sz w:val="22"/>
          <w:szCs w:val="22"/>
        </w:rPr>
        <w:t xml:space="preserve">, </w:t>
      </w:r>
      <w:r w:rsidR="00F463BA" w:rsidRPr="00C25A32">
        <w:rPr>
          <w:rFonts w:eastAsia="ＭＳ 明朝"/>
          <w:sz w:val="22"/>
          <w:szCs w:val="22"/>
        </w:rPr>
        <w:t xml:space="preserve">not by </w:t>
      </w:r>
      <w:r w:rsidR="00313C24" w:rsidRPr="00C25A32">
        <w:rPr>
          <w:rFonts w:eastAsia="ＭＳ 明朝"/>
          <w:i/>
          <w:sz w:val="22"/>
          <w:szCs w:val="22"/>
        </w:rPr>
        <w:t>SearchSpace</w:t>
      </w:r>
      <w:r w:rsidRPr="00C25A32">
        <w:rPr>
          <w:rFonts w:eastAsia="ＭＳ 明朝"/>
          <w:sz w:val="22"/>
          <w:szCs w:val="22"/>
        </w:rPr>
        <w:t xml:space="preserve">. </w:t>
      </w:r>
      <w:r w:rsidR="00A95E56" w:rsidRPr="00C25A32">
        <w:rPr>
          <w:rFonts w:eastAsia="ＭＳ 明朝"/>
          <w:sz w:val="22"/>
          <w:szCs w:val="22"/>
        </w:rPr>
        <w:t>Thus, one possible way to support the above agreement based on</w:t>
      </w:r>
      <w:r w:rsidR="003D31B3" w:rsidRPr="00C25A32">
        <w:rPr>
          <w:rFonts w:eastAsia="ＭＳ 明朝"/>
          <w:sz w:val="22"/>
          <w:szCs w:val="22"/>
        </w:rPr>
        <w:t xml:space="preserve"> Rel-15 rule would be having a list of </w:t>
      </w:r>
      <w:r w:rsidR="003D31B3" w:rsidRPr="00C25A32">
        <w:rPr>
          <w:rFonts w:eastAsia="ＭＳ 明朝"/>
          <w:i/>
          <w:sz w:val="22"/>
          <w:szCs w:val="22"/>
        </w:rPr>
        <w:t>frequencyDomainResources</w:t>
      </w:r>
      <w:r w:rsidR="003D31B3" w:rsidRPr="00C25A32">
        <w:rPr>
          <w:rFonts w:eastAsia="ＭＳ 明朝"/>
          <w:sz w:val="22"/>
          <w:szCs w:val="22"/>
        </w:rPr>
        <w:t xml:space="preserve"> in </w:t>
      </w:r>
      <w:r w:rsidR="003D31B3" w:rsidRPr="00C25A32">
        <w:rPr>
          <w:rFonts w:eastAsia="ＭＳ 明朝"/>
          <w:i/>
          <w:sz w:val="22"/>
          <w:szCs w:val="22"/>
        </w:rPr>
        <w:t>ControlResourceSet</w:t>
      </w:r>
      <w:r w:rsidR="003D31B3" w:rsidRPr="00C25A32">
        <w:rPr>
          <w:rFonts w:eastAsia="ＭＳ 明朝"/>
          <w:sz w:val="22"/>
          <w:szCs w:val="22"/>
        </w:rPr>
        <w:t xml:space="preserve"> associated with</w:t>
      </w:r>
      <w:r w:rsidR="00313C24" w:rsidRPr="00C25A32">
        <w:rPr>
          <w:rFonts w:eastAsia="ＭＳ 明朝"/>
          <w:i/>
          <w:sz w:val="22"/>
          <w:szCs w:val="22"/>
        </w:rPr>
        <w:t xml:space="preserve"> SearchSpace</w:t>
      </w:r>
      <w:r w:rsidR="00F463BA" w:rsidRPr="00C25A32">
        <w:rPr>
          <w:rFonts w:eastAsia="ＭＳ 明朝"/>
          <w:sz w:val="22"/>
          <w:szCs w:val="22"/>
        </w:rPr>
        <w:t>.</w:t>
      </w:r>
      <w:r w:rsidR="00313C24" w:rsidRPr="00C25A32">
        <w:rPr>
          <w:rFonts w:eastAsia="ＭＳ 明朝"/>
          <w:sz w:val="22"/>
          <w:szCs w:val="22"/>
        </w:rPr>
        <w:t xml:space="preserve"> This solution is feasible in terms of avoiding unnecessary additional CORESET configuration since all parameters other than </w:t>
      </w:r>
      <w:r w:rsidR="004625C8" w:rsidRPr="00C25A32">
        <w:rPr>
          <w:rFonts w:eastAsia="ＭＳ 明朝"/>
          <w:i/>
          <w:sz w:val="22"/>
          <w:szCs w:val="22"/>
        </w:rPr>
        <w:t>frequencyDomainResources</w:t>
      </w:r>
      <w:r w:rsidR="004625C8" w:rsidRPr="00C25A32">
        <w:rPr>
          <w:rFonts w:eastAsia="ＭＳ 明朝"/>
          <w:sz w:val="22"/>
          <w:szCs w:val="22"/>
        </w:rPr>
        <w:t xml:space="preserve"> </w:t>
      </w:r>
      <w:r w:rsidR="00445A6D" w:rsidRPr="00C25A32">
        <w:rPr>
          <w:rFonts w:eastAsia="ＭＳ 明朝"/>
          <w:sz w:val="22"/>
          <w:szCs w:val="22"/>
        </w:rPr>
        <w:t xml:space="preserve">in </w:t>
      </w:r>
      <w:r w:rsidR="004625C8" w:rsidRPr="00C25A32">
        <w:rPr>
          <w:rFonts w:eastAsia="ＭＳ 明朝"/>
          <w:i/>
          <w:sz w:val="22"/>
          <w:szCs w:val="22"/>
        </w:rPr>
        <w:t>ControlResourceSet</w:t>
      </w:r>
      <w:r w:rsidR="004625C8" w:rsidRPr="00C25A32">
        <w:rPr>
          <w:rFonts w:eastAsia="ＭＳ 明朝"/>
          <w:sz w:val="22"/>
          <w:szCs w:val="22"/>
        </w:rPr>
        <w:t xml:space="preserve"> </w:t>
      </w:r>
      <w:r w:rsidR="00445A6D" w:rsidRPr="00C25A32">
        <w:rPr>
          <w:rFonts w:eastAsia="ＭＳ 明朝"/>
          <w:sz w:val="22"/>
          <w:szCs w:val="22"/>
        </w:rPr>
        <w:t xml:space="preserve">can be shared </w:t>
      </w:r>
      <w:r w:rsidR="004625C8" w:rsidRPr="00C25A32">
        <w:rPr>
          <w:rFonts w:eastAsia="ＭＳ 明朝"/>
          <w:sz w:val="22"/>
          <w:szCs w:val="22"/>
        </w:rPr>
        <w:t xml:space="preserve">among multiple monitoring locations in the frequency domain. </w:t>
      </w:r>
      <w:r w:rsidR="009E5151" w:rsidRPr="00C25A32">
        <w:rPr>
          <w:rFonts w:eastAsia="ＭＳ 明朝"/>
          <w:sz w:val="22"/>
          <w:szCs w:val="22"/>
        </w:rPr>
        <w:t xml:space="preserve">Thus, the maximum number of CORESETs per BWP can be kept 3, though </w:t>
      </w:r>
      <w:r w:rsidR="00AC5541" w:rsidRPr="00C25A32">
        <w:rPr>
          <w:rFonts w:eastAsia="ＭＳ 明朝"/>
          <w:sz w:val="22"/>
          <w:szCs w:val="22"/>
        </w:rPr>
        <w:t xml:space="preserve">UE </w:t>
      </w:r>
      <w:r w:rsidR="00120813" w:rsidRPr="00C25A32">
        <w:rPr>
          <w:rFonts w:eastAsia="ＭＳ 明朝"/>
          <w:sz w:val="22"/>
          <w:szCs w:val="22"/>
        </w:rPr>
        <w:t xml:space="preserve">capable of wideband operation Case 2 </w:t>
      </w:r>
      <w:r w:rsidR="009E5151" w:rsidRPr="00C25A32">
        <w:rPr>
          <w:rFonts w:eastAsia="ＭＳ 明朝"/>
          <w:sz w:val="22"/>
          <w:szCs w:val="22"/>
        </w:rPr>
        <w:t>support</w:t>
      </w:r>
      <w:r w:rsidR="00120813" w:rsidRPr="00C25A32">
        <w:rPr>
          <w:rFonts w:eastAsia="ＭＳ 明朝"/>
          <w:sz w:val="22"/>
          <w:szCs w:val="22"/>
        </w:rPr>
        <w:t>s</w:t>
      </w:r>
      <w:r w:rsidR="009E5151" w:rsidRPr="00C25A32">
        <w:rPr>
          <w:rFonts w:eastAsia="ＭＳ 明朝"/>
          <w:sz w:val="22"/>
          <w:szCs w:val="22"/>
        </w:rPr>
        <w:t xml:space="preserve"> up </w:t>
      </w:r>
      <w:r w:rsidR="009E5151" w:rsidRPr="008549DC">
        <w:rPr>
          <w:rFonts w:eastAsia="ＭＳ 明朝"/>
          <w:sz w:val="22"/>
          <w:szCs w:val="22"/>
        </w:rPr>
        <w:t xml:space="preserve">to 5 monitoring locations in the frequency domain (i.e., size for the list of </w:t>
      </w:r>
      <w:r w:rsidR="009E5151" w:rsidRPr="008549DC">
        <w:rPr>
          <w:rFonts w:eastAsia="ＭＳ 明朝"/>
          <w:i/>
          <w:sz w:val="22"/>
          <w:szCs w:val="22"/>
        </w:rPr>
        <w:t>frequencyDomainResources</w:t>
      </w:r>
      <w:r w:rsidR="009E5151" w:rsidRPr="008549DC">
        <w:rPr>
          <w:rFonts w:eastAsia="ＭＳ 明朝"/>
          <w:sz w:val="22"/>
          <w:szCs w:val="22"/>
        </w:rPr>
        <w:t xml:space="preserve">). </w:t>
      </w:r>
      <w:r w:rsidR="00027D0B" w:rsidRPr="008549DC">
        <w:rPr>
          <w:rFonts w:eastAsia="ＭＳ 明朝"/>
          <w:sz w:val="22"/>
          <w:szCs w:val="22"/>
        </w:rPr>
        <w:t xml:space="preserve">The CCE-to-REG mapping is performed per the resource indicated by each of </w:t>
      </w:r>
      <w:r w:rsidR="00027D0B" w:rsidRPr="008549DC">
        <w:rPr>
          <w:rFonts w:eastAsia="ＭＳ 明朝"/>
          <w:i/>
          <w:sz w:val="22"/>
          <w:szCs w:val="22"/>
        </w:rPr>
        <w:t>frequencyDomainResources</w:t>
      </w:r>
      <w:r w:rsidR="00027D0B" w:rsidRPr="008549DC">
        <w:rPr>
          <w:rFonts w:eastAsia="ＭＳ 明朝"/>
          <w:sz w:val="22"/>
          <w:szCs w:val="22"/>
        </w:rPr>
        <w:t>.</w:t>
      </w:r>
    </w:p>
    <w:p w14:paraId="3A9F92D1" w14:textId="300CC48C" w:rsidR="009B6CAE" w:rsidRPr="008549DC" w:rsidRDefault="009B6CAE" w:rsidP="009B6CAE">
      <w:pPr>
        <w:spacing w:before="120" w:after="120"/>
        <w:jc w:val="both"/>
        <w:rPr>
          <w:rFonts w:eastAsia="Batang"/>
          <w:b/>
          <w:sz w:val="22"/>
          <w:szCs w:val="22"/>
          <w:lang w:eastAsia="ko-KR"/>
        </w:rPr>
      </w:pPr>
      <w:r w:rsidRPr="008549DC">
        <w:rPr>
          <w:rFonts w:eastAsia="Batang"/>
          <w:b/>
          <w:sz w:val="22"/>
          <w:szCs w:val="22"/>
          <w:u w:val="single"/>
          <w:lang w:eastAsia="ko-KR"/>
        </w:rPr>
        <w:t>Proposal 3</w:t>
      </w:r>
      <w:r w:rsidRPr="008549DC">
        <w:rPr>
          <w:rFonts w:eastAsia="Batang"/>
          <w:b/>
          <w:sz w:val="22"/>
          <w:szCs w:val="22"/>
          <w:lang w:eastAsia="ko-KR"/>
        </w:rPr>
        <w:t xml:space="preserve">: For the association between search space configuration and CORESET configuration, multiple monitoring locations in the frequency domain are indicated by a list of </w:t>
      </w:r>
      <w:r w:rsidRPr="008549DC">
        <w:rPr>
          <w:rFonts w:eastAsia="Batang"/>
          <w:b/>
          <w:i/>
          <w:sz w:val="22"/>
          <w:szCs w:val="22"/>
          <w:lang w:eastAsia="ko-KR"/>
        </w:rPr>
        <w:t>frequencyDomainResources</w:t>
      </w:r>
      <w:r w:rsidRPr="008549DC">
        <w:rPr>
          <w:rFonts w:eastAsia="Batang"/>
          <w:b/>
          <w:sz w:val="22"/>
          <w:szCs w:val="22"/>
          <w:lang w:eastAsia="ko-KR"/>
        </w:rPr>
        <w:t xml:space="preserve"> in </w:t>
      </w:r>
      <w:r w:rsidRPr="008549DC">
        <w:rPr>
          <w:rFonts w:eastAsia="Batang"/>
          <w:b/>
          <w:i/>
          <w:sz w:val="22"/>
          <w:szCs w:val="22"/>
          <w:lang w:eastAsia="ko-KR"/>
        </w:rPr>
        <w:t>ControlResourceSet</w:t>
      </w:r>
      <w:r w:rsidRPr="008549DC">
        <w:rPr>
          <w:rFonts w:eastAsia="Batang"/>
          <w:b/>
          <w:sz w:val="22"/>
          <w:szCs w:val="22"/>
          <w:lang w:eastAsia="ko-KR"/>
        </w:rPr>
        <w:t xml:space="preserve"> associated with </w:t>
      </w:r>
      <w:r w:rsidRPr="008549DC">
        <w:rPr>
          <w:rFonts w:eastAsia="Batang"/>
          <w:b/>
          <w:i/>
          <w:sz w:val="22"/>
          <w:szCs w:val="22"/>
          <w:lang w:eastAsia="ko-KR"/>
        </w:rPr>
        <w:t>SearchSpace.</w:t>
      </w:r>
    </w:p>
    <w:p w14:paraId="5EF83B4B" w14:textId="30477A51" w:rsidR="00082450" w:rsidRPr="008549DC" w:rsidRDefault="009B6CAE" w:rsidP="001E6168">
      <w:pPr>
        <w:pStyle w:val="afc"/>
        <w:numPr>
          <w:ilvl w:val="0"/>
          <w:numId w:val="39"/>
        </w:numPr>
        <w:spacing w:before="120" w:afterLines="50" w:after="120"/>
        <w:ind w:leftChars="0"/>
        <w:jc w:val="both"/>
        <w:rPr>
          <w:rFonts w:eastAsia="ＭＳ 明朝"/>
          <w:sz w:val="22"/>
          <w:szCs w:val="22"/>
          <w:lang w:val="en-US"/>
        </w:rPr>
      </w:pPr>
      <w:r w:rsidRPr="008549DC">
        <w:rPr>
          <w:rFonts w:eastAsia="Batang"/>
          <w:b/>
          <w:sz w:val="22"/>
          <w:szCs w:val="22"/>
          <w:lang w:eastAsia="ko-KR"/>
        </w:rPr>
        <w:t xml:space="preserve">UE </w:t>
      </w:r>
      <w:r w:rsidR="00120813" w:rsidRPr="008549DC">
        <w:rPr>
          <w:rFonts w:eastAsia="Batang"/>
          <w:b/>
          <w:sz w:val="22"/>
          <w:szCs w:val="22"/>
          <w:lang w:eastAsia="ko-KR"/>
        </w:rPr>
        <w:t>capable of wideband operation Case 2</w:t>
      </w:r>
      <w:r w:rsidRPr="008549DC">
        <w:rPr>
          <w:rFonts w:eastAsia="Batang"/>
          <w:b/>
          <w:sz w:val="22"/>
          <w:szCs w:val="22"/>
          <w:lang w:eastAsia="ko-KR"/>
        </w:rPr>
        <w:t xml:space="preserve"> support</w:t>
      </w:r>
      <w:r w:rsidR="00120813" w:rsidRPr="008549DC">
        <w:rPr>
          <w:rFonts w:eastAsia="Batang"/>
          <w:b/>
          <w:sz w:val="22"/>
          <w:szCs w:val="22"/>
          <w:lang w:eastAsia="ko-KR"/>
        </w:rPr>
        <w:t>s</w:t>
      </w:r>
      <w:r w:rsidRPr="008549DC">
        <w:rPr>
          <w:rFonts w:eastAsia="Batang"/>
          <w:b/>
          <w:sz w:val="22"/>
          <w:szCs w:val="22"/>
          <w:lang w:eastAsia="ko-KR"/>
        </w:rPr>
        <w:t xml:space="preserve"> up to 5 monitoring locations in the frequency domain</w:t>
      </w:r>
    </w:p>
    <w:p w14:paraId="0ADB6C9D" w14:textId="5C839CD4" w:rsidR="00A51774" w:rsidRDefault="00A51774" w:rsidP="0093765A">
      <w:pPr>
        <w:spacing w:afterLines="50" w:after="120"/>
        <w:jc w:val="both"/>
        <w:rPr>
          <w:rFonts w:eastAsia="ＭＳ 明朝"/>
          <w:sz w:val="22"/>
          <w:szCs w:val="22"/>
          <w:lang w:val="en-US"/>
        </w:rPr>
      </w:pPr>
      <w:r w:rsidRPr="008549DC">
        <w:rPr>
          <w:rFonts w:eastAsia="ＭＳ 明朝" w:hint="eastAsia"/>
          <w:sz w:val="22"/>
          <w:szCs w:val="22"/>
          <w:lang w:val="en-US"/>
        </w:rPr>
        <w:t xml:space="preserve">For wideband operation Case 2, </w:t>
      </w:r>
      <w:r w:rsidRPr="008549DC">
        <w:rPr>
          <w:rFonts w:eastAsia="ＭＳ 明朝"/>
          <w:sz w:val="22"/>
          <w:szCs w:val="22"/>
          <w:lang w:val="en-US"/>
        </w:rPr>
        <w:t>multiple CORESETs with one or more per LBT bandwidth need to be configured. On the other hand, for wid</w:t>
      </w:r>
      <w:r>
        <w:rPr>
          <w:rFonts w:eastAsia="ＭＳ 明朝"/>
          <w:sz w:val="22"/>
          <w:szCs w:val="22"/>
          <w:lang w:val="en-US"/>
        </w:rPr>
        <w:t>eband operation Case 1, single CORESET spanning multiple LBT bandwidths can be configured.</w:t>
      </w:r>
      <w:r w:rsidR="00FE20A6">
        <w:rPr>
          <w:rFonts w:eastAsia="ＭＳ 明朝"/>
          <w:sz w:val="22"/>
          <w:szCs w:val="22"/>
          <w:lang w:val="en-US"/>
        </w:rPr>
        <w:t xml:space="preserve"> Therefore, </w:t>
      </w:r>
      <w:r w:rsidR="00D87CCF">
        <w:rPr>
          <w:rFonts w:eastAsia="ＭＳ 明朝"/>
          <w:sz w:val="22"/>
          <w:szCs w:val="22"/>
          <w:lang w:val="en-US"/>
        </w:rPr>
        <w:t>it may be possible for UE to identify gNB’s wideband operation type based on CORESET configurations.</w:t>
      </w:r>
      <w:r w:rsidR="00CF6898">
        <w:rPr>
          <w:rFonts w:eastAsia="ＭＳ 明朝"/>
          <w:sz w:val="22"/>
          <w:szCs w:val="22"/>
          <w:lang w:val="en-US"/>
        </w:rPr>
        <w:t xml:space="preserve"> Anyway, UE should perform blind detection of PDCCH and/or DMRS on every CORESET.</w:t>
      </w:r>
    </w:p>
    <w:p w14:paraId="1A01BF1C" w14:textId="3D734D12" w:rsidR="00A51774" w:rsidRDefault="00D87CCF" w:rsidP="00B727F9">
      <w:pPr>
        <w:spacing w:before="120" w:after="120"/>
        <w:jc w:val="both"/>
        <w:rPr>
          <w:rFonts w:eastAsia="ＭＳ 明朝"/>
          <w:sz w:val="22"/>
          <w:szCs w:val="22"/>
        </w:rPr>
      </w:pPr>
      <w:r w:rsidRPr="00E318DE">
        <w:rPr>
          <w:rFonts w:eastAsia="Batang"/>
          <w:b/>
          <w:sz w:val="22"/>
          <w:szCs w:val="22"/>
          <w:u w:val="single"/>
          <w:lang w:eastAsia="ko-KR"/>
        </w:rPr>
        <w:t xml:space="preserve">Proposal </w:t>
      </w:r>
      <w:r w:rsidR="00571298">
        <w:rPr>
          <w:rFonts w:eastAsia="Batang"/>
          <w:b/>
          <w:sz w:val="22"/>
          <w:szCs w:val="22"/>
          <w:u w:val="single"/>
          <w:lang w:eastAsia="ko-KR"/>
        </w:rPr>
        <w:t>4</w:t>
      </w:r>
      <w:r w:rsidRPr="00E318DE">
        <w:rPr>
          <w:rFonts w:eastAsia="Batang"/>
          <w:b/>
          <w:sz w:val="22"/>
          <w:szCs w:val="22"/>
          <w:lang w:eastAsia="ko-KR"/>
        </w:rPr>
        <w:t xml:space="preserve">: </w:t>
      </w:r>
      <w:r w:rsidR="00CF6898">
        <w:rPr>
          <w:rFonts w:eastAsia="Batang"/>
          <w:b/>
          <w:sz w:val="22"/>
          <w:szCs w:val="22"/>
          <w:lang w:eastAsia="ko-KR"/>
        </w:rPr>
        <w:t>Even in case of wideband operation case 1, UE performs blind detection of PDCCH and/or DMRS on CORESET</w:t>
      </w:r>
      <w:r>
        <w:rPr>
          <w:rFonts w:eastAsia="Batang"/>
          <w:b/>
          <w:sz w:val="22"/>
          <w:szCs w:val="22"/>
          <w:lang w:eastAsia="ko-KR"/>
        </w:rPr>
        <w:t>.</w:t>
      </w:r>
    </w:p>
    <w:p w14:paraId="2F312DE6" w14:textId="74E3ABA5" w:rsidR="00C05C4D" w:rsidRDefault="00C05C4D" w:rsidP="00082450">
      <w:pPr>
        <w:spacing w:afterLines="50" w:after="120"/>
        <w:rPr>
          <w:rFonts w:eastAsia="ＭＳ 明朝"/>
          <w:sz w:val="22"/>
          <w:szCs w:val="22"/>
        </w:rPr>
      </w:pPr>
    </w:p>
    <w:p w14:paraId="5D3CDA7E" w14:textId="55A940C4" w:rsidR="00CF5707" w:rsidRDefault="00CF5707" w:rsidP="00082450">
      <w:pPr>
        <w:spacing w:afterLines="50" w:after="120"/>
        <w:rPr>
          <w:rFonts w:eastAsia="ＭＳ 明朝"/>
          <w:sz w:val="22"/>
          <w:szCs w:val="22"/>
        </w:rPr>
      </w:pPr>
    </w:p>
    <w:p w14:paraId="5F83B7D2" w14:textId="32E53BF6" w:rsidR="00CF5707" w:rsidRPr="00300D00" w:rsidRDefault="00CF5707" w:rsidP="00CF5707">
      <w:pPr>
        <w:pStyle w:val="1"/>
        <w:numPr>
          <w:ilvl w:val="0"/>
          <w:numId w:val="29"/>
        </w:numPr>
        <w:rPr>
          <w:rFonts w:eastAsia="ＭＳ 明朝"/>
          <w:b/>
          <w:lang w:eastAsia="en-US"/>
        </w:rPr>
      </w:pPr>
      <w:r w:rsidRPr="00300D00">
        <w:rPr>
          <w:rFonts w:eastAsia="ＭＳ 明朝" w:hint="eastAsia"/>
          <w:b/>
          <w:bCs/>
          <w:szCs w:val="24"/>
          <w:lang w:val="en-US"/>
        </w:rPr>
        <w:t>In-carrier guard</w:t>
      </w:r>
      <w:r w:rsidR="00867D85">
        <w:rPr>
          <w:rFonts w:eastAsia="ＭＳ 明朝"/>
          <w:b/>
          <w:bCs/>
          <w:szCs w:val="24"/>
          <w:lang w:val="en-US"/>
        </w:rPr>
        <w:t>-</w:t>
      </w:r>
      <w:r w:rsidRPr="00300D00">
        <w:rPr>
          <w:rFonts w:eastAsia="ＭＳ 明朝" w:hint="eastAsia"/>
          <w:b/>
          <w:bCs/>
          <w:szCs w:val="24"/>
          <w:lang w:val="en-US"/>
        </w:rPr>
        <w:t>band</w:t>
      </w:r>
    </w:p>
    <w:p w14:paraId="5B2FEAE0" w14:textId="3772F573" w:rsidR="00CF5707" w:rsidRPr="00C25A32" w:rsidRDefault="00166C69" w:rsidP="003A43FF">
      <w:pPr>
        <w:spacing w:afterLines="50" w:after="120"/>
        <w:jc w:val="both"/>
        <w:rPr>
          <w:rFonts w:eastAsia="ＭＳ 明朝"/>
          <w:sz w:val="22"/>
          <w:szCs w:val="22"/>
        </w:rPr>
      </w:pPr>
      <w:r w:rsidRPr="00C25A32">
        <w:rPr>
          <w:rFonts w:hint="eastAsia"/>
          <w:sz w:val="22"/>
          <w:szCs w:val="22"/>
        </w:rPr>
        <w:t>As in [</w:t>
      </w:r>
      <w:r w:rsidR="00EA5C14" w:rsidRPr="00C25A32">
        <w:rPr>
          <w:sz w:val="22"/>
          <w:szCs w:val="22"/>
        </w:rPr>
        <w:t>4</w:t>
      </w:r>
      <w:r w:rsidRPr="00C25A32">
        <w:rPr>
          <w:rFonts w:hint="eastAsia"/>
          <w:sz w:val="22"/>
          <w:szCs w:val="22"/>
        </w:rPr>
        <w:t>]</w:t>
      </w:r>
      <w:r w:rsidRPr="00C25A32">
        <w:rPr>
          <w:sz w:val="22"/>
          <w:szCs w:val="22"/>
        </w:rPr>
        <w:t>, following aspects related to in-carrier guard band have been discussed in previous RAN1 meetings:</w:t>
      </w:r>
    </w:p>
    <w:p w14:paraId="5AD56CAE" w14:textId="77777777" w:rsidR="00300D00" w:rsidRPr="00C25A32" w:rsidRDefault="00300D00" w:rsidP="003A43FF">
      <w:pPr>
        <w:pStyle w:val="afc"/>
        <w:numPr>
          <w:ilvl w:val="0"/>
          <w:numId w:val="39"/>
        </w:numPr>
        <w:spacing w:afterLines="50" w:after="120"/>
        <w:ind w:leftChars="0"/>
        <w:jc w:val="both"/>
        <w:rPr>
          <w:rFonts w:eastAsia="ＭＳ 明朝"/>
          <w:sz w:val="22"/>
          <w:szCs w:val="22"/>
          <w:lang w:val="en-US"/>
        </w:rPr>
      </w:pPr>
      <w:r w:rsidRPr="00C25A32">
        <w:rPr>
          <w:rFonts w:eastAsia="ＭＳ 明朝"/>
          <w:sz w:val="22"/>
          <w:szCs w:val="22"/>
          <w:lang w:val="en-US"/>
        </w:rPr>
        <w:t>Point #1: Configuration of in-carrier guard-band</w:t>
      </w:r>
    </w:p>
    <w:p w14:paraId="48B7248E" w14:textId="557E6919"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Configurable by gNB</w:t>
      </w:r>
    </w:p>
    <w:p w14:paraId="35023128" w14:textId="72DBC12A"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Pre-defined in specification</w:t>
      </w:r>
    </w:p>
    <w:p w14:paraId="30248FA4" w14:textId="77777777" w:rsidR="00300D00" w:rsidRPr="00C25A32" w:rsidRDefault="00300D00" w:rsidP="003A43FF">
      <w:pPr>
        <w:pStyle w:val="afc"/>
        <w:numPr>
          <w:ilvl w:val="0"/>
          <w:numId w:val="39"/>
        </w:numPr>
        <w:spacing w:afterLines="50" w:after="120"/>
        <w:ind w:leftChars="0"/>
        <w:jc w:val="both"/>
        <w:rPr>
          <w:rFonts w:eastAsia="ＭＳ 明朝"/>
          <w:sz w:val="22"/>
          <w:szCs w:val="22"/>
          <w:lang w:val="en-US"/>
        </w:rPr>
      </w:pPr>
      <w:r w:rsidRPr="00C25A32">
        <w:rPr>
          <w:rFonts w:eastAsia="ＭＳ 明朝"/>
          <w:sz w:val="22"/>
          <w:szCs w:val="22"/>
          <w:lang w:val="en-US"/>
        </w:rPr>
        <w:t>Point #2: PDSCH scheduling/reception</w:t>
      </w:r>
    </w:p>
    <w:p w14:paraId="05A764B1" w14:textId="7A3154E3"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Availability of in-carrier guard-band for PDSCH can be varied based on how much time is elapsed after the start of DL burst</w:t>
      </w:r>
    </w:p>
    <w:p w14:paraId="01CE932D" w14:textId="5DFD2C3A"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Availability of in-carrier guard-band for PDSCH can be varied based on frequency domain channel occupancy structure</w:t>
      </w:r>
    </w:p>
    <w:p w14:paraId="6CF0D3A7" w14:textId="409011E6"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Availability of in-carrier guard-band for PDSCH is up to scheduler implementation</w:t>
      </w:r>
    </w:p>
    <w:p w14:paraId="6DF4913F" w14:textId="21A738B9"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Pre-defined in-carrier guard-band is always unavailable for PDSCH.</w:t>
      </w:r>
    </w:p>
    <w:p w14:paraId="5A751E16" w14:textId="0804C67F"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Partial DMRS PRB bundles and RBGs for in-carrier guard-band</w:t>
      </w:r>
    </w:p>
    <w:p w14:paraId="5A102A1A" w14:textId="77777777" w:rsidR="00300D00" w:rsidRPr="00C25A32" w:rsidRDefault="00300D00" w:rsidP="003A43FF">
      <w:pPr>
        <w:pStyle w:val="afc"/>
        <w:numPr>
          <w:ilvl w:val="0"/>
          <w:numId w:val="39"/>
        </w:numPr>
        <w:spacing w:afterLines="50" w:after="120"/>
        <w:ind w:leftChars="0"/>
        <w:jc w:val="both"/>
        <w:rPr>
          <w:rFonts w:eastAsia="ＭＳ 明朝"/>
          <w:sz w:val="22"/>
          <w:szCs w:val="22"/>
          <w:lang w:val="en-US"/>
        </w:rPr>
      </w:pPr>
      <w:r w:rsidRPr="00C25A32">
        <w:rPr>
          <w:rFonts w:eastAsia="ＭＳ 明朝"/>
          <w:sz w:val="22"/>
          <w:szCs w:val="22"/>
          <w:lang w:val="en-US"/>
        </w:rPr>
        <w:t>Point #3: Impact on CORESET configuration</w:t>
      </w:r>
    </w:p>
    <w:p w14:paraId="392C07CE" w14:textId="67940181"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Potential enhancements considering inefficiency of 6 RB grid bitmap starting from common PRB index 0</w:t>
      </w:r>
    </w:p>
    <w:p w14:paraId="693433F0" w14:textId="77777777" w:rsidR="00300D00" w:rsidRPr="00C25A32" w:rsidRDefault="00300D00" w:rsidP="003A43FF">
      <w:pPr>
        <w:pStyle w:val="afc"/>
        <w:numPr>
          <w:ilvl w:val="0"/>
          <w:numId w:val="39"/>
        </w:numPr>
        <w:spacing w:afterLines="50" w:after="120"/>
        <w:ind w:leftChars="0"/>
        <w:jc w:val="both"/>
        <w:rPr>
          <w:rFonts w:eastAsia="ＭＳ 明朝"/>
          <w:sz w:val="22"/>
          <w:szCs w:val="22"/>
          <w:lang w:val="en-US"/>
        </w:rPr>
      </w:pPr>
      <w:r w:rsidRPr="00C25A32">
        <w:rPr>
          <w:rFonts w:eastAsia="ＭＳ 明朝"/>
          <w:sz w:val="22"/>
          <w:szCs w:val="22"/>
          <w:lang w:val="en-US"/>
        </w:rPr>
        <w:t>Point #4: CSI-RS resource</w:t>
      </w:r>
    </w:p>
    <w:p w14:paraId="12B970AE" w14:textId="1C162CE5"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Frequency domain resource configuration for CSI-RS (e.g., per LBT bandwidth vs. per multiple LBT bandwidths)</w:t>
      </w:r>
    </w:p>
    <w:p w14:paraId="6F248BAA" w14:textId="44F7BE33" w:rsidR="00300D00" w:rsidRPr="00C25A32" w:rsidRDefault="00300D00" w:rsidP="003A43FF">
      <w:pPr>
        <w:pStyle w:val="afc"/>
        <w:numPr>
          <w:ilvl w:val="1"/>
          <w:numId w:val="39"/>
        </w:numPr>
        <w:spacing w:afterLines="50" w:after="120"/>
        <w:ind w:leftChars="0"/>
        <w:jc w:val="both"/>
        <w:rPr>
          <w:rFonts w:eastAsia="ＭＳ 明朝"/>
          <w:sz w:val="22"/>
          <w:szCs w:val="22"/>
          <w:lang w:val="en-US"/>
        </w:rPr>
      </w:pPr>
      <w:r w:rsidRPr="00C25A32">
        <w:rPr>
          <w:rFonts w:eastAsia="ＭＳ 明朝"/>
          <w:sz w:val="22"/>
          <w:szCs w:val="22"/>
          <w:lang w:val="en-US"/>
        </w:rPr>
        <w:t>Availability of in-carrier guard band in configured CSI-RS resource can be varied based on how much time is elapsed after the start of DL burst</w:t>
      </w:r>
    </w:p>
    <w:p w14:paraId="4A9DEFFC" w14:textId="22F90BDF" w:rsidR="00300D00" w:rsidRPr="00C25A32" w:rsidRDefault="00300D00" w:rsidP="003A43FF">
      <w:pPr>
        <w:spacing w:afterLines="50" w:after="120"/>
        <w:jc w:val="both"/>
        <w:rPr>
          <w:rFonts w:eastAsia="ＭＳ 明朝"/>
          <w:sz w:val="22"/>
          <w:szCs w:val="22"/>
          <w:lang w:val="en-US"/>
        </w:rPr>
      </w:pPr>
    </w:p>
    <w:p w14:paraId="47491C37" w14:textId="31D4582A" w:rsidR="00E0315C" w:rsidRPr="00C25A32" w:rsidRDefault="00E0315C" w:rsidP="003A43FF">
      <w:pPr>
        <w:spacing w:afterLines="50" w:after="120"/>
        <w:jc w:val="both"/>
        <w:rPr>
          <w:rFonts w:eastAsia="ＭＳ 明朝"/>
          <w:sz w:val="22"/>
          <w:szCs w:val="22"/>
        </w:rPr>
      </w:pPr>
      <w:r w:rsidRPr="00C25A32">
        <w:rPr>
          <w:rFonts w:eastAsia="ＭＳ 明朝" w:hint="eastAsia"/>
          <w:sz w:val="22"/>
          <w:szCs w:val="22"/>
          <w:lang w:val="en-US"/>
        </w:rPr>
        <w:t xml:space="preserve">In RAN4#92, </w:t>
      </w:r>
      <w:r w:rsidRPr="00C25A32">
        <w:rPr>
          <w:rFonts w:eastAsia="ＭＳ 明朝"/>
          <w:sz w:val="22"/>
          <w:szCs w:val="22"/>
          <w:lang w:val="en-US"/>
        </w:rPr>
        <w:t xml:space="preserve">an </w:t>
      </w:r>
      <w:r w:rsidRPr="00C25A32">
        <w:rPr>
          <w:rFonts w:eastAsia="ＭＳ 明朝"/>
          <w:sz w:val="22"/>
          <w:szCs w:val="22"/>
        </w:rPr>
        <w:t>WF on guardbands for NR-U [5] was agreed:</w:t>
      </w:r>
    </w:p>
    <w:p w14:paraId="3440F166" w14:textId="77777777" w:rsidR="00E0315C" w:rsidRPr="00C25A32" w:rsidRDefault="00E0315C" w:rsidP="003A43FF">
      <w:pPr>
        <w:pStyle w:val="afc"/>
        <w:numPr>
          <w:ilvl w:val="0"/>
          <w:numId w:val="39"/>
        </w:numPr>
        <w:spacing w:afterLines="50" w:after="120"/>
        <w:ind w:leftChars="0"/>
        <w:jc w:val="both"/>
        <w:rPr>
          <w:rFonts w:eastAsia="ＭＳ 明朝"/>
          <w:sz w:val="22"/>
          <w:szCs w:val="22"/>
          <w:lang w:val="en-US"/>
        </w:rPr>
      </w:pPr>
      <w:r w:rsidRPr="00C25A32">
        <w:rPr>
          <w:rFonts w:eastAsia="ＭＳ 明朝"/>
          <w:sz w:val="22"/>
          <w:szCs w:val="22"/>
          <w:lang w:val="en-US"/>
        </w:rPr>
        <w:t>Guard bands are integer multiples of PRB on a common RB grid</w:t>
      </w:r>
    </w:p>
    <w:p w14:paraId="3A79AAF3" w14:textId="77777777" w:rsidR="00E0315C" w:rsidRPr="00C25A32" w:rsidRDefault="00E0315C" w:rsidP="003A43FF">
      <w:pPr>
        <w:pStyle w:val="afc"/>
        <w:numPr>
          <w:ilvl w:val="0"/>
          <w:numId w:val="39"/>
        </w:numPr>
        <w:spacing w:afterLines="50" w:after="120"/>
        <w:ind w:leftChars="0"/>
        <w:jc w:val="both"/>
        <w:rPr>
          <w:rFonts w:eastAsia="ＭＳ 明朝"/>
          <w:sz w:val="22"/>
          <w:szCs w:val="22"/>
          <w:lang w:val="en-US"/>
        </w:rPr>
      </w:pPr>
      <w:r w:rsidRPr="00C25A32">
        <w:rPr>
          <w:rFonts w:eastAsia="ＭＳ 明朝"/>
          <w:sz w:val="22"/>
          <w:szCs w:val="22"/>
          <w:lang w:val="en-US"/>
        </w:rPr>
        <w:t>RAN4 is still to determine the necessary size of inter-carrier and intra-carrier guardbands</w:t>
      </w:r>
    </w:p>
    <w:p w14:paraId="47D7363F" w14:textId="0D43D23B" w:rsidR="00E0315C" w:rsidRPr="00C25A32" w:rsidRDefault="00E0315C" w:rsidP="003A43FF">
      <w:pPr>
        <w:pStyle w:val="afc"/>
        <w:numPr>
          <w:ilvl w:val="0"/>
          <w:numId w:val="39"/>
        </w:numPr>
        <w:spacing w:afterLines="50" w:after="120"/>
        <w:ind w:leftChars="0"/>
        <w:jc w:val="both"/>
        <w:rPr>
          <w:rFonts w:eastAsia="ＭＳ 明朝"/>
          <w:sz w:val="22"/>
          <w:szCs w:val="22"/>
          <w:lang w:val="en-US"/>
        </w:rPr>
      </w:pPr>
      <w:r w:rsidRPr="00C25A32">
        <w:rPr>
          <w:rFonts w:eastAsia="ＭＳ 明朝"/>
          <w:sz w:val="22"/>
          <w:szCs w:val="22"/>
          <w:lang w:val="en-US"/>
        </w:rPr>
        <w:t>Intra-carrier guard band could be scheduled if located between contiguous LBT successful sub-bands where all scheduled LBT sub-bands have passed CCA.</w:t>
      </w:r>
    </w:p>
    <w:p w14:paraId="2C68E855" w14:textId="77777777" w:rsidR="00E0315C" w:rsidRPr="00C25A32" w:rsidRDefault="00E0315C" w:rsidP="003A43FF">
      <w:pPr>
        <w:spacing w:afterLines="50" w:after="120"/>
        <w:jc w:val="both"/>
        <w:rPr>
          <w:rFonts w:eastAsia="ＭＳ 明朝"/>
          <w:sz w:val="22"/>
          <w:szCs w:val="22"/>
          <w:lang w:val="en-US"/>
        </w:rPr>
      </w:pPr>
    </w:p>
    <w:p w14:paraId="49483DC4" w14:textId="7AB2AD86" w:rsidR="00FC2E8A" w:rsidRPr="00C25A32" w:rsidRDefault="00E0315C" w:rsidP="003A43FF">
      <w:pPr>
        <w:spacing w:afterLines="50" w:after="120"/>
        <w:jc w:val="both"/>
        <w:rPr>
          <w:rFonts w:eastAsia="ＭＳ 明朝"/>
          <w:sz w:val="22"/>
          <w:szCs w:val="22"/>
          <w:lang w:val="en-US"/>
        </w:rPr>
      </w:pPr>
      <w:r w:rsidRPr="00C25A32">
        <w:rPr>
          <w:rFonts w:eastAsia="ＭＳ 明朝"/>
          <w:sz w:val="22"/>
          <w:szCs w:val="22"/>
          <w:lang w:val="en-US"/>
        </w:rPr>
        <w:t xml:space="preserve">Based on the agreement, in-carrier guard-band should be pre-defined in the unit of PRBs according to the RAN4 decision which will be made for the necessity size of </w:t>
      </w:r>
      <w:r w:rsidR="00FC2E8A" w:rsidRPr="00C25A32">
        <w:rPr>
          <w:rFonts w:eastAsia="ＭＳ 明朝"/>
          <w:sz w:val="22"/>
          <w:szCs w:val="22"/>
          <w:lang w:val="en-US"/>
        </w:rPr>
        <w:t>intra-carrier guardbands.</w:t>
      </w:r>
    </w:p>
    <w:p w14:paraId="0B189F34" w14:textId="4DBB207D" w:rsidR="00300D00" w:rsidRPr="00C25A32" w:rsidRDefault="00FC2E8A" w:rsidP="003A43FF">
      <w:pPr>
        <w:spacing w:afterLines="50" w:after="120"/>
        <w:jc w:val="both"/>
        <w:rPr>
          <w:rFonts w:eastAsia="ＭＳ 明朝"/>
          <w:sz w:val="22"/>
          <w:szCs w:val="22"/>
          <w:lang w:val="en-US"/>
        </w:rPr>
      </w:pPr>
      <w:r w:rsidRPr="00C25A32">
        <w:rPr>
          <w:rFonts w:eastAsia="ＭＳ 明朝"/>
          <w:sz w:val="22"/>
          <w:szCs w:val="22"/>
          <w:lang w:val="en-US"/>
        </w:rPr>
        <w:t xml:space="preserve">For the beginning of DL burst, </w:t>
      </w:r>
      <w:r w:rsidR="00DC494F" w:rsidRPr="00C25A32">
        <w:rPr>
          <w:rFonts w:eastAsia="ＭＳ 明朝"/>
          <w:sz w:val="22"/>
          <w:szCs w:val="22"/>
          <w:lang w:val="en-US"/>
        </w:rPr>
        <w:t xml:space="preserve">since </w:t>
      </w:r>
      <w:r w:rsidR="00B75F11" w:rsidRPr="00C25A32">
        <w:rPr>
          <w:rFonts w:eastAsia="ＭＳ 明朝"/>
          <w:sz w:val="22"/>
          <w:szCs w:val="22"/>
          <w:lang w:val="en-US"/>
        </w:rPr>
        <w:t>LBT result</w:t>
      </w:r>
      <w:r w:rsidR="00DC494F" w:rsidRPr="00C25A32">
        <w:rPr>
          <w:rFonts w:eastAsia="ＭＳ 明朝"/>
          <w:sz w:val="22"/>
          <w:szCs w:val="22"/>
          <w:lang w:val="en-US"/>
        </w:rPr>
        <w:t xml:space="preserve"> (i.e., the availability of in-carrier guard-band </w:t>
      </w:r>
      <w:r w:rsidR="00782635" w:rsidRPr="00C25A32">
        <w:rPr>
          <w:rFonts w:eastAsia="ＭＳ 明朝"/>
          <w:sz w:val="22"/>
          <w:szCs w:val="22"/>
          <w:lang w:val="en-US"/>
        </w:rPr>
        <w:t xml:space="preserve">resources </w:t>
      </w:r>
      <w:r w:rsidR="00DC494F" w:rsidRPr="00C25A32">
        <w:rPr>
          <w:rFonts w:eastAsia="ＭＳ 明朝"/>
          <w:sz w:val="22"/>
          <w:szCs w:val="22"/>
          <w:lang w:val="en-US"/>
        </w:rPr>
        <w:t>for PDSCH)</w:t>
      </w:r>
      <w:r w:rsidR="00B75F11" w:rsidRPr="00C25A32">
        <w:rPr>
          <w:rFonts w:eastAsia="ＭＳ 明朝"/>
          <w:sz w:val="22"/>
          <w:szCs w:val="22"/>
          <w:lang w:val="en-US"/>
        </w:rPr>
        <w:t xml:space="preserve"> may not be able to apply to the </w:t>
      </w:r>
      <w:r w:rsidR="00DC494F" w:rsidRPr="00C25A32">
        <w:rPr>
          <w:rFonts w:eastAsia="ＭＳ 明朝"/>
          <w:sz w:val="22"/>
          <w:szCs w:val="22"/>
          <w:lang w:val="en-US"/>
        </w:rPr>
        <w:t>PDSCH scheduling, the pre-defined in-carrier guard-band should be fixed to be unavailable</w:t>
      </w:r>
      <w:r w:rsidR="00595B65" w:rsidRPr="00C25A32">
        <w:rPr>
          <w:rFonts w:eastAsia="ＭＳ 明朝"/>
          <w:sz w:val="22"/>
          <w:szCs w:val="22"/>
          <w:lang w:val="en-US"/>
        </w:rPr>
        <w:t xml:space="preserve"> for PDSCH</w:t>
      </w:r>
      <w:r w:rsidR="00DC494F" w:rsidRPr="00C25A32">
        <w:rPr>
          <w:rFonts w:eastAsia="ＭＳ 明朝"/>
          <w:sz w:val="22"/>
          <w:szCs w:val="22"/>
          <w:lang w:val="en-US"/>
        </w:rPr>
        <w:t>.</w:t>
      </w:r>
      <w:r w:rsidR="001147D3">
        <w:rPr>
          <w:rFonts w:eastAsia="ＭＳ 明朝"/>
          <w:sz w:val="22"/>
          <w:szCs w:val="22"/>
          <w:lang w:val="en-US"/>
        </w:rPr>
        <w:t xml:space="preserve"> </w:t>
      </w:r>
      <w:r w:rsidR="00B4773D">
        <w:rPr>
          <w:rFonts w:eastAsia="ＭＳ 明朝" w:hint="eastAsia"/>
          <w:sz w:val="22"/>
          <w:szCs w:val="22"/>
          <w:lang w:val="en-US"/>
        </w:rPr>
        <w:t>Thus</w:t>
      </w:r>
      <w:r w:rsidR="00B4773D">
        <w:rPr>
          <w:rFonts w:eastAsia="ＭＳ 明朝"/>
          <w:sz w:val="22"/>
          <w:szCs w:val="22"/>
          <w:lang w:val="en-US"/>
        </w:rPr>
        <w:t xml:space="preserve">, UE is not expected to be scheduled with the PRBs </w:t>
      </w:r>
      <w:r w:rsidR="001147D3">
        <w:rPr>
          <w:rFonts w:eastAsia="ＭＳ 明朝"/>
          <w:sz w:val="22"/>
          <w:szCs w:val="22"/>
          <w:lang w:val="en-US"/>
        </w:rPr>
        <w:t>included in the in-carrier guard-band.</w:t>
      </w:r>
      <w:r w:rsidR="00DC494F" w:rsidRPr="00C25A32">
        <w:rPr>
          <w:rFonts w:eastAsia="ＭＳ 明朝"/>
          <w:sz w:val="22"/>
          <w:szCs w:val="22"/>
          <w:lang w:val="en-US"/>
        </w:rPr>
        <w:t xml:space="preserve"> On the other hand, </w:t>
      </w:r>
      <w:r w:rsidR="007C4C79" w:rsidRPr="00C25A32">
        <w:rPr>
          <w:rFonts w:eastAsia="ＭＳ 明朝"/>
          <w:sz w:val="22"/>
          <w:szCs w:val="22"/>
          <w:lang w:val="en-US"/>
        </w:rPr>
        <w:t>for the rest of DL burst, since there is enough time to apply the LBT result to the PDSCH scheduling, the pre-defined in-carrier guard-band</w:t>
      </w:r>
      <w:r w:rsidR="00A1299C" w:rsidRPr="00C25A32">
        <w:rPr>
          <w:rFonts w:eastAsia="ＭＳ 明朝"/>
          <w:sz w:val="22"/>
          <w:szCs w:val="22"/>
          <w:lang w:val="en-US"/>
        </w:rPr>
        <w:t xml:space="preserve"> is available</w:t>
      </w:r>
      <w:r w:rsidR="00595B65" w:rsidRPr="00C25A32">
        <w:rPr>
          <w:rFonts w:eastAsia="ＭＳ 明朝"/>
          <w:sz w:val="22"/>
          <w:szCs w:val="22"/>
          <w:lang w:val="en-US"/>
        </w:rPr>
        <w:t xml:space="preserve"> for PDSCH</w:t>
      </w:r>
      <w:r w:rsidR="00A1299C" w:rsidRPr="00C25A32">
        <w:rPr>
          <w:rFonts w:eastAsia="ＭＳ 明朝"/>
          <w:sz w:val="22"/>
          <w:szCs w:val="22"/>
          <w:lang w:val="en-US"/>
        </w:rPr>
        <w:t xml:space="preserve"> if CCA is successful </w:t>
      </w:r>
      <w:r w:rsidR="00875A43" w:rsidRPr="00C25A32">
        <w:rPr>
          <w:rFonts w:eastAsia="ＭＳ 明朝"/>
          <w:sz w:val="22"/>
          <w:szCs w:val="22"/>
          <w:lang w:val="en-US"/>
        </w:rPr>
        <w:t>in the corresponding contiguous LBT bandwidths</w:t>
      </w:r>
      <w:r w:rsidR="005E4047" w:rsidRPr="00C25A32">
        <w:rPr>
          <w:rFonts w:eastAsia="ＭＳ 明朝"/>
          <w:sz w:val="22"/>
          <w:szCs w:val="22"/>
          <w:lang w:val="en-US"/>
        </w:rPr>
        <w:t>.</w:t>
      </w:r>
      <w:r w:rsidR="00C364E0">
        <w:rPr>
          <w:rFonts w:eastAsia="ＭＳ 明朝"/>
          <w:sz w:val="22"/>
          <w:szCs w:val="22"/>
          <w:lang w:val="en-US"/>
        </w:rPr>
        <w:t xml:space="preserve"> </w:t>
      </w:r>
      <w:r w:rsidR="00FA0F51">
        <w:rPr>
          <w:rFonts w:eastAsia="ＭＳ 明朝"/>
          <w:sz w:val="22"/>
          <w:szCs w:val="22"/>
          <w:lang w:val="en-US"/>
        </w:rPr>
        <w:t xml:space="preserve">The boundary of the in-carrier guard-band availability could be </w:t>
      </w:r>
      <w:r w:rsidR="006C1150">
        <w:rPr>
          <w:rFonts w:eastAsia="ＭＳ 明朝"/>
          <w:sz w:val="22"/>
          <w:szCs w:val="22"/>
          <w:lang w:val="en-US"/>
        </w:rPr>
        <w:t xml:space="preserve">identified by the indication of </w:t>
      </w:r>
      <w:r w:rsidR="006C1150" w:rsidRPr="006C1150">
        <w:rPr>
          <w:rFonts w:eastAsia="ＭＳ 明朝"/>
          <w:sz w:val="22"/>
          <w:szCs w:val="22"/>
          <w:lang w:val="en-US"/>
        </w:rPr>
        <w:t xml:space="preserve">available LBT bandwidths </w:t>
      </w:r>
      <w:r w:rsidR="00DC2116">
        <w:rPr>
          <w:rFonts w:eastAsia="ＭＳ 明朝"/>
          <w:sz w:val="22"/>
          <w:szCs w:val="22"/>
          <w:lang w:val="en-US"/>
        </w:rPr>
        <w:t>in GC</w:t>
      </w:r>
      <w:r w:rsidR="006C1150" w:rsidRPr="006C1150">
        <w:rPr>
          <w:rFonts w:eastAsia="ＭＳ 明朝"/>
          <w:sz w:val="22"/>
          <w:szCs w:val="22"/>
          <w:lang w:val="en-US"/>
        </w:rPr>
        <w:t>-PDCCH</w:t>
      </w:r>
      <w:r w:rsidR="00DC2116">
        <w:rPr>
          <w:rFonts w:eastAsia="ＭＳ 明朝"/>
          <w:sz w:val="22"/>
          <w:szCs w:val="22"/>
          <w:lang w:val="en-US"/>
        </w:rPr>
        <w:t>.</w:t>
      </w:r>
    </w:p>
    <w:p w14:paraId="7C4D6E25" w14:textId="38E683A3" w:rsidR="00595B65" w:rsidRPr="00C25A32" w:rsidRDefault="00595B65" w:rsidP="003A43FF">
      <w:pPr>
        <w:spacing w:before="120" w:after="120"/>
        <w:jc w:val="both"/>
        <w:rPr>
          <w:rFonts w:eastAsia="Batang"/>
          <w:b/>
          <w:sz w:val="22"/>
          <w:szCs w:val="22"/>
          <w:lang w:eastAsia="ko-KR"/>
        </w:rPr>
      </w:pPr>
      <w:r w:rsidRPr="00C25A32">
        <w:rPr>
          <w:rFonts w:eastAsia="Batang"/>
          <w:b/>
          <w:sz w:val="22"/>
          <w:szCs w:val="22"/>
          <w:u w:val="single"/>
          <w:lang w:eastAsia="ko-KR"/>
        </w:rPr>
        <w:t>Proposal 5</w:t>
      </w:r>
      <w:r w:rsidRPr="00C25A32">
        <w:rPr>
          <w:rFonts w:eastAsia="Batang"/>
          <w:b/>
          <w:sz w:val="22"/>
          <w:szCs w:val="22"/>
          <w:lang w:eastAsia="ko-KR"/>
        </w:rPr>
        <w:t>: Pre-defined in-carrier guard-band</w:t>
      </w:r>
      <w:r w:rsidR="00B12268" w:rsidRPr="00C25A32">
        <w:rPr>
          <w:rFonts w:eastAsia="Batang"/>
          <w:b/>
          <w:sz w:val="22"/>
          <w:szCs w:val="22"/>
          <w:lang w:eastAsia="ko-KR"/>
        </w:rPr>
        <w:t xml:space="preserve"> between adjacent LBT bandwidths in the unit of PRBs is supported:</w:t>
      </w:r>
    </w:p>
    <w:p w14:paraId="20A3EB2F" w14:textId="0E7C4E51" w:rsidR="00595B65" w:rsidRPr="00C25A32" w:rsidRDefault="00A17971" w:rsidP="003A43FF">
      <w:pPr>
        <w:pStyle w:val="afc"/>
        <w:numPr>
          <w:ilvl w:val="0"/>
          <w:numId w:val="39"/>
        </w:numPr>
        <w:spacing w:before="120" w:afterLines="50" w:after="120"/>
        <w:ind w:leftChars="0"/>
        <w:jc w:val="both"/>
        <w:rPr>
          <w:rFonts w:eastAsia="ＭＳ 明朝"/>
          <w:b/>
          <w:sz w:val="22"/>
          <w:szCs w:val="22"/>
          <w:lang w:val="en-US"/>
        </w:rPr>
      </w:pPr>
      <w:r>
        <w:rPr>
          <w:rFonts w:eastAsia="ＭＳ 明朝"/>
          <w:b/>
          <w:sz w:val="22"/>
          <w:szCs w:val="22"/>
          <w:lang w:val="en-US"/>
        </w:rPr>
        <w:t xml:space="preserve">Before the indication </w:t>
      </w:r>
      <w:r w:rsidR="0059666F">
        <w:rPr>
          <w:rFonts w:eastAsia="ＭＳ 明朝"/>
          <w:b/>
          <w:sz w:val="22"/>
          <w:szCs w:val="22"/>
          <w:lang w:val="en-US"/>
        </w:rPr>
        <w:t xml:space="preserve">of available LBT bandwidths </w:t>
      </w:r>
      <w:r w:rsidR="00DB6601">
        <w:rPr>
          <w:rFonts w:eastAsia="ＭＳ 明朝"/>
          <w:b/>
          <w:sz w:val="22"/>
          <w:szCs w:val="22"/>
          <w:lang w:val="en-US"/>
        </w:rPr>
        <w:t>in</w:t>
      </w:r>
      <w:r w:rsidR="0059666F">
        <w:rPr>
          <w:rFonts w:eastAsia="ＭＳ 明朝"/>
          <w:b/>
          <w:sz w:val="22"/>
          <w:szCs w:val="22"/>
          <w:lang w:val="en-US"/>
        </w:rPr>
        <w:t xml:space="preserve"> </w:t>
      </w:r>
      <w:r>
        <w:rPr>
          <w:rFonts w:eastAsia="ＭＳ 明朝"/>
          <w:b/>
          <w:sz w:val="22"/>
          <w:szCs w:val="22"/>
          <w:lang w:val="en-US"/>
        </w:rPr>
        <w:t>GC-PDCCH</w:t>
      </w:r>
      <w:r w:rsidR="00B12268" w:rsidRPr="00C25A32">
        <w:rPr>
          <w:rFonts w:eastAsia="ＭＳ 明朝"/>
          <w:b/>
          <w:sz w:val="22"/>
          <w:szCs w:val="22"/>
          <w:lang w:val="en-US"/>
        </w:rPr>
        <w:t>: Pre-defined in-carrier guard-band is fixed to be unavailable for PDSCH</w:t>
      </w:r>
      <w:r w:rsidR="001147D3">
        <w:rPr>
          <w:rFonts w:eastAsia="ＭＳ 明朝"/>
          <w:b/>
          <w:sz w:val="22"/>
          <w:szCs w:val="22"/>
          <w:lang w:val="en-US"/>
        </w:rPr>
        <w:t xml:space="preserve"> and UE is not expected to be scheduled with the PRBs included in the in-carrier guard-band.</w:t>
      </w:r>
    </w:p>
    <w:p w14:paraId="5F1C342D" w14:textId="16E60568" w:rsidR="00B12268" w:rsidRPr="00C25A32" w:rsidRDefault="0009786A" w:rsidP="003A43FF">
      <w:pPr>
        <w:pStyle w:val="afc"/>
        <w:numPr>
          <w:ilvl w:val="0"/>
          <w:numId w:val="39"/>
        </w:numPr>
        <w:spacing w:before="120" w:afterLines="50" w:after="120"/>
        <w:ind w:leftChars="0"/>
        <w:jc w:val="both"/>
        <w:rPr>
          <w:rFonts w:eastAsia="ＭＳ 明朝"/>
          <w:b/>
          <w:sz w:val="22"/>
          <w:szCs w:val="22"/>
          <w:lang w:val="en-US"/>
        </w:rPr>
      </w:pPr>
      <w:r>
        <w:rPr>
          <w:rFonts w:eastAsia="ＭＳ 明朝"/>
          <w:b/>
          <w:sz w:val="22"/>
          <w:szCs w:val="22"/>
          <w:lang w:val="en-US"/>
        </w:rPr>
        <w:t xml:space="preserve">After the indication of available LBT bandwidths </w:t>
      </w:r>
      <w:r w:rsidR="00DB6601">
        <w:rPr>
          <w:rFonts w:eastAsia="ＭＳ 明朝"/>
          <w:b/>
          <w:sz w:val="22"/>
          <w:szCs w:val="22"/>
          <w:lang w:val="en-US"/>
        </w:rPr>
        <w:t>in</w:t>
      </w:r>
      <w:r>
        <w:rPr>
          <w:rFonts w:eastAsia="ＭＳ 明朝"/>
          <w:b/>
          <w:sz w:val="22"/>
          <w:szCs w:val="22"/>
          <w:lang w:val="en-US"/>
        </w:rPr>
        <w:t xml:space="preserve"> GC-PDCCH</w:t>
      </w:r>
      <w:r w:rsidR="00B12268" w:rsidRPr="00C25A32">
        <w:rPr>
          <w:rFonts w:eastAsia="ＭＳ 明朝"/>
          <w:b/>
          <w:sz w:val="22"/>
          <w:szCs w:val="22"/>
          <w:lang w:val="en-US"/>
        </w:rPr>
        <w:t>: Pre-defined in-carrier guard-band is available for PDSCH if CCA is successful in the corresponding contiguous LBT bandwidths</w:t>
      </w:r>
      <w:r w:rsidR="001147D3">
        <w:rPr>
          <w:rFonts w:eastAsia="ＭＳ 明朝"/>
          <w:b/>
          <w:sz w:val="22"/>
          <w:szCs w:val="22"/>
          <w:lang w:val="en-US"/>
        </w:rPr>
        <w:t>.</w:t>
      </w:r>
    </w:p>
    <w:p w14:paraId="5926888D" w14:textId="77777777" w:rsidR="00CF5707" w:rsidRPr="00C05C4D" w:rsidRDefault="00CF5707" w:rsidP="00082450">
      <w:pPr>
        <w:spacing w:afterLines="50" w:after="120"/>
        <w:rPr>
          <w:rFonts w:eastAsia="ＭＳ 明朝"/>
          <w:sz w:val="22"/>
          <w:szCs w:val="22"/>
        </w:rPr>
      </w:pPr>
    </w:p>
    <w:p w14:paraId="4C2E19BB" w14:textId="55560169" w:rsidR="00CE7DF9" w:rsidRPr="00CE7DF9" w:rsidRDefault="00CE7DF9" w:rsidP="00CE7DF9"/>
    <w:p w14:paraId="0E6AE862" w14:textId="6758E573" w:rsidR="007D02E5" w:rsidRPr="00CE7DF9" w:rsidRDefault="008A4A93" w:rsidP="00CE7DF9">
      <w:pPr>
        <w:pStyle w:val="1"/>
        <w:numPr>
          <w:ilvl w:val="0"/>
          <w:numId w:val="29"/>
        </w:numPr>
        <w:rPr>
          <w:rFonts w:eastAsia="ＭＳ 明朝"/>
          <w:b/>
          <w:lang w:eastAsia="en-US"/>
        </w:rPr>
      </w:pPr>
      <w:r w:rsidRPr="00CE7DF9">
        <w:rPr>
          <w:rFonts w:eastAsia="ＭＳ 明朝" w:hint="eastAsia"/>
          <w:b/>
          <w:bCs/>
          <w:szCs w:val="24"/>
          <w:lang w:val="en-US"/>
        </w:rPr>
        <w:t>Conclusion</w:t>
      </w:r>
    </w:p>
    <w:p w14:paraId="3661BAE3" w14:textId="75DAF385" w:rsidR="00FE79AE" w:rsidRDefault="00FE79AE" w:rsidP="003A43FF">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AD3D0B">
        <w:rPr>
          <w:rFonts w:eastAsia="ＭＳ 明朝"/>
          <w:sz w:val="22"/>
          <w:szCs w:val="22"/>
          <w:lang w:val="en-US"/>
        </w:rPr>
        <w:t>wideband operation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040B19">
        <w:rPr>
          <w:rFonts w:eastAsia="ＭＳ 明朝"/>
          <w:sz w:val="22"/>
          <w:szCs w:val="22"/>
          <w:lang w:val="en-US"/>
        </w:rPr>
        <w:t>s</w:t>
      </w:r>
      <w:r w:rsidR="00E15F38">
        <w:rPr>
          <w:rFonts w:eastAsia="ＭＳ 明朝" w:hint="eastAsia"/>
          <w:sz w:val="22"/>
          <w:szCs w:val="22"/>
          <w:lang w:val="en-US"/>
        </w:rPr>
        <w:t>.</w:t>
      </w:r>
    </w:p>
    <w:p w14:paraId="111259C1" w14:textId="77777777" w:rsidR="000539BF" w:rsidRPr="00E318DE" w:rsidRDefault="000539BF" w:rsidP="003A43FF">
      <w:pPr>
        <w:spacing w:before="120" w:after="120"/>
        <w:jc w:val="both"/>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1</w:t>
      </w:r>
      <w:r w:rsidRPr="00E318DE">
        <w:rPr>
          <w:rFonts w:eastAsia="Batang"/>
          <w:b/>
          <w:sz w:val="22"/>
          <w:szCs w:val="22"/>
          <w:lang w:eastAsia="ko-KR"/>
        </w:rPr>
        <w:t>: For UL wideband operation in NR-U, the operation in which UE transmits the PUSCH in all or a subset of LBT bandwidths of the scheduled PUSCH for which CCA is successful at the UE is deprioritized</w:t>
      </w:r>
      <w:r>
        <w:rPr>
          <w:rFonts w:eastAsia="Batang"/>
          <w:b/>
          <w:sz w:val="22"/>
          <w:szCs w:val="22"/>
          <w:lang w:eastAsia="ko-KR"/>
        </w:rPr>
        <w:t xml:space="preserve"> in Rel-16</w:t>
      </w:r>
      <w:r w:rsidRPr="00E318DE">
        <w:rPr>
          <w:rFonts w:eastAsia="Batang"/>
          <w:b/>
          <w:sz w:val="22"/>
          <w:szCs w:val="22"/>
          <w:lang w:eastAsia="ko-KR"/>
        </w:rPr>
        <w:t>.</w:t>
      </w:r>
    </w:p>
    <w:p w14:paraId="0D12C565" w14:textId="77777777" w:rsidR="000539BF" w:rsidRPr="000040F4" w:rsidRDefault="000539BF" w:rsidP="003A43FF">
      <w:pPr>
        <w:spacing w:before="120" w:after="120"/>
        <w:jc w:val="both"/>
        <w:rPr>
          <w:rFonts w:eastAsia="Batang"/>
          <w:b/>
          <w:sz w:val="22"/>
          <w:szCs w:val="22"/>
          <w:lang w:eastAsia="ko-KR"/>
        </w:rPr>
      </w:pPr>
      <w:r w:rsidRPr="00E318DE">
        <w:rPr>
          <w:rFonts w:eastAsia="Batang"/>
          <w:b/>
          <w:sz w:val="22"/>
          <w:szCs w:val="22"/>
          <w:u w:val="single"/>
          <w:lang w:eastAsia="ko-KR"/>
        </w:rPr>
        <w:t xml:space="preserve">Proposal </w:t>
      </w:r>
      <w:r>
        <w:rPr>
          <w:rFonts w:eastAsia="Batang"/>
          <w:b/>
          <w:sz w:val="22"/>
          <w:szCs w:val="22"/>
          <w:u w:val="single"/>
          <w:lang w:eastAsia="ko-KR"/>
        </w:rPr>
        <w:t>2</w:t>
      </w:r>
      <w:r w:rsidRPr="00E318DE">
        <w:rPr>
          <w:rFonts w:eastAsia="Batang"/>
          <w:b/>
          <w:sz w:val="22"/>
          <w:szCs w:val="22"/>
          <w:lang w:eastAsia="ko-KR"/>
        </w:rPr>
        <w:t xml:space="preserve">: </w:t>
      </w:r>
      <w:r>
        <w:rPr>
          <w:rFonts w:eastAsia="Batang"/>
          <w:b/>
          <w:sz w:val="22"/>
          <w:szCs w:val="22"/>
          <w:lang w:eastAsia="ko-KR"/>
        </w:rPr>
        <w:t xml:space="preserve">In case of wideband operation case 2 where </w:t>
      </w:r>
      <w:r w:rsidRPr="00CF6898">
        <w:rPr>
          <w:rFonts w:eastAsia="Batang"/>
          <w:b/>
          <w:sz w:val="22"/>
          <w:szCs w:val="22"/>
          <w:lang w:eastAsia="ko-KR"/>
        </w:rPr>
        <w:t>gNB may transmit PDSCH on part or whole of single active BWP where CCA is successful</w:t>
      </w:r>
      <w:r>
        <w:rPr>
          <w:rFonts w:eastAsia="Batang"/>
          <w:b/>
          <w:sz w:val="22"/>
          <w:szCs w:val="22"/>
          <w:lang w:eastAsia="ko-KR"/>
        </w:rPr>
        <w:t>, UE performs blind detection of PDCCH and/or DMRS on every LBT bandwidth according to CORESET/search space configurations.</w:t>
      </w:r>
    </w:p>
    <w:p w14:paraId="7D19E2CF" w14:textId="77777777" w:rsidR="00571298" w:rsidRPr="00C25A32" w:rsidRDefault="00571298" w:rsidP="003A43FF">
      <w:pPr>
        <w:spacing w:before="120" w:after="120"/>
        <w:jc w:val="both"/>
        <w:rPr>
          <w:rFonts w:eastAsia="Batang"/>
          <w:b/>
          <w:sz w:val="22"/>
          <w:szCs w:val="22"/>
          <w:lang w:eastAsia="ko-KR"/>
        </w:rPr>
      </w:pPr>
      <w:r w:rsidRPr="00C25A32">
        <w:rPr>
          <w:rFonts w:eastAsia="Batang"/>
          <w:b/>
          <w:sz w:val="22"/>
          <w:szCs w:val="22"/>
          <w:u w:val="single"/>
          <w:lang w:eastAsia="ko-KR"/>
        </w:rPr>
        <w:t>Proposal 3</w:t>
      </w:r>
      <w:r w:rsidRPr="00C25A32">
        <w:rPr>
          <w:rFonts w:eastAsia="Batang"/>
          <w:b/>
          <w:sz w:val="22"/>
          <w:szCs w:val="22"/>
          <w:lang w:eastAsia="ko-KR"/>
        </w:rPr>
        <w:t xml:space="preserve">: For the association between search space configuration and CORESET configuration, multiple monitoring locations in the frequency domain are indicated by a list of </w:t>
      </w:r>
      <w:r w:rsidRPr="00C25A32">
        <w:rPr>
          <w:rFonts w:eastAsia="Batang"/>
          <w:b/>
          <w:i/>
          <w:sz w:val="22"/>
          <w:szCs w:val="22"/>
          <w:lang w:eastAsia="ko-KR"/>
        </w:rPr>
        <w:t>frequencyDomainResources</w:t>
      </w:r>
      <w:r w:rsidRPr="00C25A32">
        <w:rPr>
          <w:rFonts w:eastAsia="Batang"/>
          <w:b/>
          <w:sz w:val="22"/>
          <w:szCs w:val="22"/>
          <w:lang w:eastAsia="ko-KR"/>
        </w:rPr>
        <w:t xml:space="preserve"> in </w:t>
      </w:r>
      <w:r w:rsidRPr="00C25A32">
        <w:rPr>
          <w:rFonts w:eastAsia="Batang"/>
          <w:b/>
          <w:i/>
          <w:sz w:val="22"/>
          <w:szCs w:val="22"/>
          <w:lang w:eastAsia="ko-KR"/>
        </w:rPr>
        <w:t>ControlResourceSet</w:t>
      </w:r>
      <w:r w:rsidRPr="00C25A32">
        <w:rPr>
          <w:rFonts w:eastAsia="Batang"/>
          <w:b/>
          <w:sz w:val="22"/>
          <w:szCs w:val="22"/>
          <w:lang w:eastAsia="ko-KR"/>
        </w:rPr>
        <w:t xml:space="preserve"> associated with </w:t>
      </w:r>
      <w:r w:rsidRPr="00C25A32">
        <w:rPr>
          <w:rFonts w:eastAsia="Batang"/>
          <w:b/>
          <w:i/>
          <w:sz w:val="22"/>
          <w:szCs w:val="22"/>
          <w:lang w:eastAsia="ko-KR"/>
        </w:rPr>
        <w:t>SearchSpace.</w:t>
      </w:r>
    </w:p>
    <w:p w14:paraId="4128968F" w14:textId="515741F7" w:rsidR="000539BF" w:rsidRPr="00C25A32" w:rsidRDefault="000539BF" w:rsidP="003A43FF">
      <w:pPr>
        <w:spacing w:before="120" w:after="120"/>
        <w:jc w:val="both"/>
        <w:rPr>
          <w:rFonts w:eastAsia="Batang"/>
          <w:b/>
          <w:sz w:val="22"/>
          <w:szCs w:val="22"/>
          <w:lang w:eastAsia="ko-KR"/>
        </w:rPr>
      </w:pPr>
      <w:r w:rsidRPr="00C25A32">
        <w:rPr>
          <w:rFonts w:eastAsia="Batang"/>
          <w:b/>
          <w:sz w:val="22"/>
          <w:szCs w:val="22"/>
          <w:u w:val="single"/>
          <w:lang w:eastAsia="ko-KR"/>
        </w:rPr>
        <w:t xml:space="preserve">Proposal </w:t>
      </w:r>
      <w:r w:rsidR="00AE4FE8" w:rsidRPr="00C25A32">
        <w:rPr>
          <w:rFonts w:eastAsia="Batang"/>
          <w:b/>
          <w:sz w:val="22"/>
          <w:szCs w:val="22"/>
          <w:u w:val="single"/>
          <w:lang w:eastAsia="ko-KR"/>
        </w:rPr>
        <w:t>4</w:t>
      </w:r>
      <w:r w:rsidRPr="00C25A32">
        <w:rPr>
          <w:rFonts w:eastAsia="Batang"/>
          <w:b/>
          <w:sz w:val="22"/>
          <w:szCs w:val="22"/>
          <w:lang w:eastAsia="ko-KR"/>
        </w:rPr>
        <w:t>: Even in case of wideband operation case 1, UE performs blind detection of PDCCH and/or DMRS on CORESET.</w:t>
      </w:r>
    </w:p>
    <w:p w14:paraId="12DC7CAB" w14:textId="77777777" w:rsidR="007F343C" w:rsidRPr="00C25A32" w:rsidRDefault="007F343C" w:rsidP="003A43FF">
      <w:pPr>
        <w:spacing w:before="120" w:after="120"/>
        <w:jc w:val="both"/>
        <w:rPr>
          <w:rFonts w:eastAsia="Batang"/>
          <w:b/>
          <w:sz w:val="22"/>
          <w:szCs w:val="22"/>
          <w:lang w:eastAsia="ko-KR"/>
        </w:rPr>
      </w:pPr>
      <w:r w:rsidRPr="00C25A32">
        <w:rPr>
          <w:rFonts w:eastAsia="Batang"/>
          <w:b/>
          <w:sz w:val="22"/>
          <w:szCs w:val="22"/>
          <w:u w:val="single"/>
          <w:lang w:eastAsia="ko-KR"/>
        </w:rPr>
        <w:t>Proposal 5</w:t>
      </w:r>
      <w:r w:rsidRPr="00C25A32">
        <w:rPr>
          <w:rFonts w:eastAsia="Batang"/>
          <w:b/>
          <w:sz w:val="22"/>
          <w:szCs w:val="22"/>
          <w:lang w:eastAsia="ko-KR"/>
        </w:rPr>
        <w:t>: Pre-defined in-carrier guard-band between adjacent LBT bandwidths in the unit of PRBs is supported:</w:t>
      </w:r>
    </w:p>
    <w:p w14:paraId="2880EF0B" w14:textId="77777777" w:rsidR="003C4E37" w:rsidRPr="00C25A32" w:rsidRDefault="003C4E37" w:rsidP="003C4E37">
      <w:pPr>
        <w:pStyle w:val="afc"/>
        <w:numPr>
          <w:ilvl w:val="0"/>
          <w:numId w:val="39"/>
        </w:numPr>
        <w:spacing w:before="120" w:afterLines="50" w:after="120"/>
        <w:ind w:leftChars="0"/>
        <w:jc w:val="both"/>
        <w:rPr>
          <w:rFonts w:eastAsia="ＭＳ 明朝"/>
          <w:b/>
          <w:sz w:val="22"/>
          <w:szCs w:val="22"/>
          <w:lang w:val="en-US"/>
        </w:rPr>
      </w:pPr>
      <w:r>
        <w:rPr>
          <w:rFonts w:eastAsia="ＭＳ 明朝"/>
          <w:b/>
          <w:sz w:val="22"/>
          <w:szCs w:val="22"/>
          <w:lang w:val="en-US"/>
        </w:rPr>
        <w:t>Before the indication of available LBT bandwidths in GC-PDCCH</w:t>
      </w:r>
      <w:r w:rsidRPr="00C25A32">
        <w:rPr>
          <w:rFonts w:eastAsia="ＭＳ 明朝"/>
          <w:b/>
          <w:sz w:val="22"/>
          <w:szCs w:val="22"/>
          <w:lang w:val="en-US"/>
        </w:rPr>
        <w:t>: Pre-defined in-carrier guard-band is fixed to be unavailable for PDSCH</w:t>
      </w:r>
      <w:r>
        <w:rPr>
          <w:rFonts w:eastAsia="ＭＳ 明朝"/>
          <w:b/>
          <w:sz w:val="22"/>
          <w:szCs w:val="22"/>
          <w:lang w:val="en-US"/>
        </w:rPr>
        <w:t xml:space="preserve"> and UE is not expected to be scheduled with the PRBs included in the in-carrier guard-band.</w:t>
      </w:r>
    </w:p>
    <w:p w14:paraId="755F3097" w14:textId="77777777" w:rsidR="003C4E37" w:rsidRPr="00C25A32" w:rsidRDefault="003C4E37" w:rsidP="003C4E37">
      <w:pPr>
        <w:pStyle w:val="afc"/>
        <w:numPr>
          <w:ilvl w:val="0"/>
          <w:numId w:val="39"/>
        </w:numPr>
        <w:spacing w:before="120" w:afterLines="50" w:after="120"/>
        <w:ind w:leftChars="0"/>
        <w:jc w:val="both"/>
        <w:rPr>
          <w:rFonts w:eastAsia="ＭＳ 明朝"/>
          <w:b/>
          <w:sz w:val="22"/>
          <w:szCs w:val="22"/>
          <w:lang w:val="en-US"/>
        </w:rPr>
      </w:pPr>
      <w:r>
        <w:rPr>
          <w:rFonts w:eastAsia="ＭＳ 明朝"/>
          <w:b/>
          <w:sz w:val="22"/>
          <w:szCs w:val="22"/>
          <w:lang w:val="en-US"/>
        </w:rPr>
        <w:t>After the indication of available LBT bandwidths in GC-PDCCH</w:t>
      </w:r>
      <w:r w:rsidRPr="00C25A32">
        <w:rPr>
          <w:rFonts w:eastAsia="ＭＳ 明朝"/>
          <w:b/>
          <w:sz w:val="22"/>
          <w:szCs w:val="22"/>
          <w:lang w:val="en-US"/>
        </w:rPr>
        <w:t>: Pre-defined in-carrier guard-band is available for PDSCH if CCA is successful in the corresponding contiguous LBT bandwidths</w:t>
      </w:r>
      <w:r>
        <w:rPr>
          <w:rFonts w:eastAsia="ＭＳ 明朝"/>
          <w:b/>
          <w:sz w:val="22"/>
          <w:szCs w:val="22"/>
          <w:lang w:val="en-US"/>
        </w:rPr>
        <w:t>.</w:t>
      </w:r>
    </w:p>
    <w:p w14:paraId="21187D7A" w14:textId="77777777" w:rsidR="00241088" w:rsidRPr="000539BF" w:rsidRDefault="00241088" w:rsidP="00FD306A">
      <w:pPr>
        <w:spacing w:before="120" w:after="120"/>
        <w:rPr>
          <w:rFonts w:eastAsia="Batang"/>
          <w:b/>
          <w:sz w:val="22"/>
          <w:szCs w:val="22"/>
          <w:u w:val="single"/>
          <w:lang w:eastAsia="ko-KR"/>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7F6318B" w14:textId="77777777" w:rsidR="00C0396A" w:rsidRPr="00A95E9C" w:rsidRDefault="00C0396A" w:rsidP="00166C69">
      <w:pPr>
        <w:pStyle w:val="afc"/>
        <w:numPr>
          <w:ilvl w:val="0"/>
          <w:numId w:val="4"/>
        </w:numPr>
        <w:spacing w:afterLines="50" w:after="120"/>
        <w:ind w:leftChars="0"/>
        <w:jc w:val="both"/>
        <w:rPr>
          <w:rFonts w:eastAsia="ＭＳ 明朝"/>
          <w:sz w:val="22"/>
        </w:rPr>
      </w:pPr>
      <w:r w:rsidRPr="00A95E9C">
        <w:rPr>
          <w:rFonts w:eastAsia="ＭＳ 明朝"/>
          <w:sz w:val="22"/>
        </w:rPr>
        <w:t>3GPP, RAN1#9</w:t>
      </w:r>
      <w:r w:rsidRPr="00A95E9C">
        <w:rPr>
          <w:rFonts w:eastAsia="ＭＳ 明朝" w:hint="eastAsia"/>
          <w:sz w:val="22"/>
        </w:rPr>
        <w:t>8</w:t>
      </w:r>
      <w:r w:rsidRPr="00A95E9C">
        <w:rPr>
          <w:rFonts w:eastAsia="ＭＳ 明朝"/>
          <w:sz w:val="22"/>
        </w:rPr>
        <w:t xml:space="preserve">, RAN1 Chairman’s Notes, </w:t>
      </w:r>
      <w:r w:rsidRPr="00A95E9C">
        <w:rPr>
          <w:rFonts w:eastAsia="ＭＳ 明朝" w:hint="eastAsia"/>
          <w:sz w:val="22"/>
        </w:rPr>
        <w:t>August</w:t>
      </w:r>
      <w:r w:rsidRPr="00A95E9C">
        <w:rPr>
          <w:rFonts w:eastAsia="ＭＳ 明朝"/>
          <w:sz w:val="22"/>
        </w:rPr>
        <w:t xml:space="preserve"> 2019.</w:t>
      </w:r>
    </w:p>
    <w:p w14:paraId="09BCAC7A" w14:textId="62A32690" w:rsidR="006D0257" w:rsidRPr="00141ABF" w:rsidRDefault="009E6101" w:rsidP="00166C69">
      <w:pPr>
        <w:pStyle w:val="afc"/>
        <w:numPr>
          <w:ilvl w:val="0"/>
          <w:numId w:val="4"/>
        </w:numPr>
        <w:spacing w:afterLines="50" w:after="120"/>
        <w:ind w:leftChars="0"/>
        <w:jc w:val="both"/>
        <w:rPr>
          <w:rFonts w:eastAsia="ＭＳ 明朝"/>
          <w:sz w:val="22"/>
        </w:rPr>
      </w:pPr>
      <w:r>
        <w:rPr>
          <w:rFonts w:eastAsia="ＭＳ 明朝"/>
          <w:sz w:val="22"/>
        </w:rPr>
        <w:t xml:space="preserve">3GPP, </w:t>
      </w:r>
      <w:r w:rsidR="006D0257">
        <w:rPr>
          <w:rFonts w:eastAsia="ＭＳ 明朝"/>
          <w:sz w:val="22"/>
        </w:rPr>
        <w:t>RP-191581, Qualcomm, “</w:t>
      </w:r>
      <w:r w:rsidR="006D0257" w:rsidRPr="00BB47F8">
        <w:rPr>
          <w:rFonts w:eastAsia="ＭＳ 明朝"/>
          <w:sz w:val="22"/>
        </w:rPr>
        <w:t>Guidance on essential functionality for NR-U</w:t>
      </w:r>
      <w:r w:rsidR="006D0257">
        <w:rPr>
          <w:rFonts w:eastAsia="ＭＳ 明朝"/>
          <w:sz w:val="22"/>
        </w:rPr>
        <w:t>,” June 2019.</w:t>
      </w:r>
    </w:p>
    <w:p w14:paraId="38D9E253" w14:textId="195DD10D" w:rsidR="007258BB" w:rsidRDefault="008D58DD" w:rsidP="0057500F">
      <w:pPr>
        <w:pStyle w:val="afc"/>
        <w:numPr>
          <w:ilvl w:val="0"/>
          <w:numId w:val="4"/>
        </w:numPr>
        <w:spacing w:afterLines="50" w:after="120"/>
        <w:ind w:leftChars="0"/>
        <w:jc w:val="both"/>
        <w:rPr>
          <w:rFonts w:eastAsia="ＭＳ 明朝"/>
          <w:sz w:val="22"/>
        </w:rPr>
      </w:pPr>
      <w:r>
        <w:rPr>
          <w:rFonts w:eastAsia="ＭＳ 明朝" w:hint="eastAsia"/>
          <w:sz w:val="22"/>
        </w:rPr>
        <w:t>3GPP, R1-</w:t>
      </w:r>
      <w:r w:rsidR="0057500F" w:rsidRPr="0057500F">
        <w:rPr>
          <w:rFonts w:eastAsia="ＭＳ 明朝"/>
          <w:sz w:val="22"/>
        </w:rPr>
        <w:t>1911158</w:t>
      </w:r>
      <w:r>
        <w:rPr>
          <w:rFonts w:eastAsia="ＭＳ 明朝"/>
          <w:sz w:val="22"/>
        </w:rPr>
        <w:t>, NTT DOCOMO, INC., “DL signals and ch</w:t>
      </w:r>
      <w:r w:rsidR="00634602">
        <w:rPr>
          <w:rFonts w:eastAsia="ＭＳ 明朝"/>
          <w:sz w:val="22"/>
        </w:rPr>
        <w:t>annels for NR-U,” October</w:t>
      </w:r>
      <w:r>
        <w:rPr>
          <w:rFonts w:eastAsia="ＭＳ 明朝"/>
          <w:sz w:val="22"/>
        </w:rPr>
        <w:t xml:space="preserve"> 2019.</w:t>
      </w:r>
    </w:p>
    <w:p w14:paraId="582C44CB" w14:textId="59306F5B" w:rsidR="00166C69" w:rsidRDefault="00166C69" w:rsidP="007F19AB">
      <w:pPr>
        <w:pStyle w:val="afc"/>
        <w:numPr>
          <w:ilvl w:val="0"/>
          <w:numId w:val="4"/>
        </w:numPr>
        <w:spacing w:afterLines="50" w:after="120"/>
        <w:ind w:leftChars="0"/>
        <w:jc w:val="both"/>
        <w:rPr>
          <w:rFonts w:eastAsia="ＭＳ 明朝"/>
          <w:sz w:val="22"/>
        </w:rPr>
      </w:pPr>
      <w:r>
        <w:rPr>
          <w:rFonts w:eastAsia="ＭＳ 明朝" w:hint="eastAsia"/>
          <w:sz w:val="22"/>
        </w:rPr>
        <w:t>3GPP, R1-</w:t>
      </w:r>
      <w:r w:rsidRPr="007F19AB">
        <w:rPr>
          <w:rFonts w:eastAsia="ＭＳ 明朝" w:hint="eastAsia"/>
          <w:sz w:val="22"/>
        </w:rPr>
        <w:t>19</w:t>
      </w:r>
      <w:r w:rsidR="007F19AB">
        <w:rPr>
          <w:rFonts w:eastAsia="ＭＳ 明朝" w:hint="eastAsia"/>
          <w:sz w:val="22"/>
        </w:rPr>
        <w:t>0</w:t>
      </w:r>
      <w:r w:rsidR="007F19AB">
        <w:rPr>
          <w:rFonts w:eastAsia="ＭＳ 明朝"/>
          <w:sz w:val="22"/>
        </w:rPr>
        <w:t xml:space="preserve">9458, </w:t>
      </w:r>
      <w:r w:rsidR="007F19AB" w:rsidRPr="007F19AB">
        <w:rPr>
          <w:rFonts w:eastAsia="ＭＳ 明朝"/>
          <w:sz w:val="22"/>
        </w:rPr>
        <w:t>LG Electronics</w:t>
      </w:r>
      <w:r>
        <w:rPr>
          <w:rFonts w:eastAsia="ＭＳ 明朝"/>
          <w:sz w:val="22"/>
        </w:rPr>
        <w:t>, “</w:t>
      </w:r>
      <w:r w:rsidR="007F19AB" w:rsidRPr="007F19AB">
        <w:rPr>
          <w:rFonts w:eastAsia="ＭＳ 明朝"/>
          <w:sz w:val="22"/>
        </w:rPr>
        <w:t>Summary on wide-band operation for NR-U</w:t>
      </w:r>
      <w:r>
        <w:rPr>
          <w:rFonts w:eastAsia="ＭＳ 明朝"/>
          <w:sz w:val="22"/>
        </w:rPr>
        <w:t xml:space="preserve">,” </w:t>
      </w:r>
      <w:r w:rsidR="007F19AB">
        <w:rPr>
          <w:rFonts w:eastAsia="ＭＳ 明朝"/>
          <w:sz w:val="22"/>
        </w:rPr>
        <w:t>August</w:t>
      </w:r>
      <w:r>
        <w:rPr>
          <w:rFonts w:eastAsia="ＭＳ 明朝"/>
          <w:sz w:val="22"/>
        </w:rPr>
        <w:t xml:space="preserve"> 2019.</w:t>
      </w:r>
    </w:p>
    <w:p w14:paraId="322CE6E7" w14:textId="23C067ED" w:rsidR="00E0315C" w:rsidRDefault="00E0315C" w:rsidP="00E0315C">
      <w:pPr>
        <w:pStyle w:val="afc"/>
        <w:numPr>
          <w:ilvl w:val="0"/>
          <w:numId w:val="4"/>
        </w:numPr>
        <w:spacing w:afterLines="50" w:after="120"/>
        <w:ind w:leftChars="0"/>
        <w:jc w:val="both"/>
        <w:rPr>
          <w:rFonts w:eastAsia="ＭＳ 明朝"/>
          <w:sz w:val="22"/>
        </w:rPr>
      </w:pPr>
      <w:r w:rsidRPr="00E0315C">
        <w:rPr>
          <w:rFonts w:eastAsia="ＭＳ 明朝" w:hint="eastAsia"/>
          <w:sz w:val="22"/>
        </w:rPr>
        <w:t>3GPP, R</w:t>
      </w:r>
      <w:r>
        <w:rPr>
          <w:rFonts w:eastAsia="ＭＳ 明朝"/>
          <w:sz w:val="22"/>
        </w:rPr>
        <w:t>4</w:t>
      </w:r>
      <w:r w:rsidRPr="00E0315C">
        <w:rPr>
          <w:rFonts w:eastAsia="ＭＳ 明朝" w:hint="eastAsia"/>
          <w:sz w:val="22"/>
        </w:rPr>
        <w:t>-</w:t>
      </w:r>
      <w:r w:rsidRPr="00E0315C">
        <w:rPr>
          <w:rFonts w:eastAsia="ＭＳ 明朝"/>
          <w:sz w:val="22"/>
        </w:rPr>
        <w:t xml:space="preserve">1910536, </w:t>
      </w:r>
      <w:r>
        <w:rPr>
          <w:rFonts w:eastAsia="ＭＳ 明朝"/>
          <w:sz w:val="22"/>
        </w:rPr>
        <w:t>NOKIA</w:t>
      </w:r>
      <w:r w:rsidRPr="00E0315C">
        <w:rPr>
          <w:rFonts w:eastAsia="ＭＳ 明朝"/>
          <w:sz w:val="22"/>
        </w:rPr>
        <w:t>, “WF on Guardbands for NR-U,” August 2019.</w:t>
      </w:r>
    </w:p>
    <w:p w14:paraId="275FA25A" w14:textId="2CC61FBF" w:rsidR="00BD2C7F" w:rsidRPr="00E0315C" w:rsidRDefault="00BD2C7F" w:rsidP="00E0315C">
      <w:pPr>
        <w:pStyle w:val="afc"/>
        <w:numPr>
          <w:ilvl w:val="0"/>
          <w:numId w:val="4"/>
        </w:numPr>
        <w:spacing w:afterLines="50" w:after="120"/>
        <w:ind w:leftChars="0"/>
        <w:jc w:val="both"/>
        <w:rPr>
          <w:rFonts w:eastAsia="ＭＳ 明朝"/>
          <w:sz w:val="22"/>
        </w:rPr>
      </w:pPr>
      <w:r>
        <w:rPr>
          <w:rFonts w:eastAsia="ＭＳ 明朝" w:hint="eastAsia"/>
          <w:sz w:val="22"/>
        </w:rPr>
        <w:t xml:space="preserve">R1-1909931, Qualcomm, </w:t>
      </w:r>
      <w:r>
        <w:rPr>
          <w:rFonts w:eastAsia="ＭＳ 明朝"/>
          <w:sz w:val="22"/>
        </w:rPr>
        <w:t>“</w:t>
      </w:r>
      <w:r w:rsidRPr="006970D9">
        <w:rPr>
          <w:rFonts w:eastAsia="ＭＳ 明朝"/>
          <w:sz w:val="22"/>
        </w:rPr>
        <w:t>RRC parameter changes required for NR-U, up to RAN1 #98</w:t>
      </w:r>
      <w:r>
        <w:rPr>
          <w:rFonts w:eastAsia="ＭＳ 明朝"/>
          <w:sz w:val="22"/>
        </w:rPr>
        <w:t>,” October 2019.</w:t>
      </w:r>
    </w:p>
    <w:p w14:paraId="3A9A7416" w14:textId="0DDBE83A" w:rsidR="00DE77D0" w:rsidRPr="00166C69" w:rsidRDefault="00DE77D0" w:rsidP="00DE77D0">
      <w:pPr>
        <w:rPr>
          <w:rFonts w:eastAsia="ＭＳ 明朝"/>
          <w:sz w:val="22"/>
        </w:rPr>
      </w:pPr>
    </w:p>
    <w:p w14:paraId="2CF047E8" w14:textId="14B3240D" w:rsidR="00DE77D0" w:rsidRPr="00DE77D0" w:rsidRDefault="00DE77D0" w:rsidP="00DE77D0">
      <w:pPr>
        <w:pStyle w:val="1"/>
        <w:spacing w:before="180" w:after="120"/>
        <w:rPr>
          <w:rFonts w:eastAsia="ＭＳ 明朝"/>
          <w:b/>
          <w:bCs/>
          <w:szCs w:val="24"/>
          <w:lang w:val="en-US"/>
        </w:rPr>
      </w:pPr>
      <w:r w:rsidRPr="008549DC">
        <w:rPr>
          <w:rFonts w:eastAsia="ＭＳ 明朝"/>
          <w:b/>
          <w:bCs/>
          <w:szCs w:val="24"/>
          <w:lang w:val="en-US"/>
        </w:rPr>
        <w:t>Appendix: RRC parameters</w:t>
      </w:r>
    </w:p>
    <w:p w14:paraId="313E91CA" w14:textId="28DE5BF9" w:rsidR="00E243E9" w:rsidRDefault="00E243E9" w:rsidP="00BD2C7F">
      <w:pPr>
        <w:jc w:val="both"/>
        <w:rPr>
          <w:sz w:val="22"/>
          <w:lang w:val="en-US"/>
        </w:rPr>
      </w:pPr>
      <w:r w:rsidRPr="000B7375">
        <w:rPr>
          <w:rFonts w:hint="eastAsia"/>
          <w:sz w:val="22"/>
          <w:lang w:val="en-US"/>
        </w:rPr>
        <w:t>RRC</w:t>
      </w:r>
      <w:r>
        <w:rPr>
          <w:sz w:val="22"/>
          <w:lang w:val="en-US"/>
        </w:rPr>
        <w:t xml:space="preserve"> parameters necessary for supporting the proposals in this contribution are summarized as follows.</w:t>
      </w:r>
      <w:r w:rsidR="00BD2C7F" w:rsidRPr="00BD2C7F">
        <w:rPr>
          <w:sz w:val="22"/>
          <w:lang w:val="en-US"/>
        </w:rPr>
        <w:t xml:space="preserve"> </w:t>
      </w:r>
      <w:r w:rsidR="00BD2C7F">
        <w:rPr>
          <w:sz w:val="22"/>
          <w:lang w:val="en-US"/>
        </w:rPr>
        <w:t>The added/modified parts from [6] are colored by red.</w:t>
      </w:r>
    </w:p>
    <w:p w14:paraId="486BBF55" w14:textId="77777777" w:rsidR="00E243E9" w:rsidRPr="000B7375" w:rsidRDefault="00E243E9" w:rsidP="00E243E9">
      <w:pPr>
        <w:rPr>
          <w:sz w:val="22"/>
          <w:lang w:val="en-US"/>
        </w:rPr>
      </w:pPr>
    </w:p>
    <w:tbl>
      <w:tblPr>
        <w:tblStyle w:val="afa"/>
        <w:tblW w:w="9918" w:type="dxa"/>
        <w:tblLayout w:type="fixed"/>
        <w:tblLook w:val="04A0" w:firstRow="1" w:lastRow="0" w:firstColumn="1" w:lastColumn="0" w:noHBand="0" w:noVBand="1"/>
      </w:tblPr>
      <w:tblGrid>
        <w:gridCol w:w="1255"/>
        <w:gridCol w:w="1292"/>
        <w:gridCol w:w="992"/>
        <w:gridCol w:w="851"/>
        <w:gridCol w:w="992"/>
        <w:gridCol w:w="2835"/>
        <w:gridCol w:w="1701"/>
      </w:tblGrid>
      <w:tr w:rsidR="00E243E9" w:rsidRPr="004B0B63" w14:paraId="768CE70B" w14:textId="77777777" w:rsidTr="00B477DF">
        <w:tc>
          <w:tcPr>
            <w:tcW w:w="1255" w:type="dxa"/>
            <w:tcBorders>
              <w:top w:val="single" w:sz="4" w:space="0" w:color="auto"/>
              <w:left w:val="single" w:sz="4" w:space="0" w:color="auto"/>
              <w:bottom w:val="single" w:sz="4" w:space="0" w:color="auto"/>
              <w:right w:val="single" w:sz="4" w:space="0" w:color="auto"/>
            </w:tcBorders>
            <w:vAlign w:val="bottom"/>
            <w:hideMark/>
          </w:tcPr>
          <w:p w14:paraId="68980E9F" w14:textId="77777777" w:rsidR="00E243E9" w:rsidRPr="004B0B63" w:rsidRDefault="00E243E9" w:rsidP="00B477DF">
            <w:pPr>
              <w:rPr>
                <w:rFonts w:ascii="Calibri" w:hAnsi="Calibri" w:cs="Calibri"/>
                <w:b/>
                <w:bCs/>
                <w:color w:val="000000"/>
                <w:sz w:val="16"/>
              </w:rPr>
            </w:pPr>
            <w:r w:rsidRPr="004B0B63">
              <w:rPr>
                <w:rFonts w:ascii="Calibri" w:hAnsi="Calibri" w:cs="Calibri"/>
                <w:b/>
                <w:bCs/>
                <w:color w:val="000000"/>
                <w:sz w:val="16"/>
              </w:rPr>
              <w:t>Parameter Name</w:t>
            </w:r>
          </w:p>
        </w:tc>
        <w:tc>
          <w:tcPr>
            <w:tcW w:w="1292" w:type="dxa"/>
            <w:tcBorders>
              <w:top w:val="single" w:sz="4" w:space="0" w:color="auto"/>
              <w:left w:val="single" w:sz="4" w:space="0" w:color="auto"/>
              <w:bottom w:val="single" w:sz="4" w:space="0" w:color="auto"/>
              <w:right w:val="single" w:sz="4" w:space="0" w:color="auto"/>
            </w:tcBorders>
            <w:vAlign w:val="bottom"/>
            <w:hideMark/>
          </w:tcPr>
          <w:p w14:paraId="2C75D56F" w14:textId="77777777" w:rsidR="00E243E9" w:rsidRPr="004B0B63" w:rsidRDefault="00E243E9" w:rsidP="00B477DF">
            <w:pPr>
              <w:rPr>
                <w:rFonts w:ascii="Calibri" w:hAnsi="Calibri" w:cs="Calibri"/>
                <w:b/>
                <w:bCs/>
                <w:color w:val="000000"/>
                <w:sz w:val="16"/>
              </w:rPr>
            </w:pPr>
            <w:r w:rsidRPr="004B0B63">
              <w:rPr>
                <w:rFonts w:ascii="Calibri" w:hAnsi="Calibri" w:cs="Calibri"/>
                <w:b/>
                <w:bCs/>
                <w:color w:val="000000"/>
                <w:sz w:val="16"/>
              </w:rPr>
              <w:t>(New) values</w:t>
            </w:r>
          </w:p>
        </w:tc>
        <w:tc>
          <w:tcPr>
            <w:tcW w:w="992" w:type="dxa"/>
            <w:tcBorders>
              <w:top w:val="single" w:sz="4" w:space="0" w:color="auto"/>
              <w:left w:val="single" w:sz="4" w:space="0" w:color="auto"/>
              <w:bottom w:val="single" w:sz="4" w:space="0" w:color="auto"/>
              <w:right w:val="single" w:sz="4" w:space="0" w:color="auto"/>
            </w:tcBorders>
            <w:vAlign w:val="bottom"/>
            <w:hideMark/>
          </w:tcPr>
          <w:p w14:paraId="3F89DDD7" w14:textId="77777777" w:rsidR="00E243E9" w:rsidRPr="004B0B63" w:rsidRDefault="00E243E9" w:rsidP="00B477DF">
            <w:pPr>
              <w:rPr>
                <w:rFonts w:ascii="Calibri" w:hAnsi="Calibri" w:cs="Calibri"/>
                <w:b/>
                <w:bCs/>
                <w:color w:val="000000"/>
                <w:sz w:val="16"/>
              </w:rPr>
            </w:pPr>
            <w:r w:rsidRPr="004B0B63">
              <w:rPr>
                <w:rFonts w:ascii="Calibri" w:hAnsi="Calibri" w:cs="Calibri"/>
                <w:b/>
                <w:bCs/>
                <w:color w:val="000000"/>
                <w:sz w:val="16"/>
              </w:rPr>
              <w:t>New R16 vs extension of R15</w:t>
            </w:r>
          </w:p>
        </w:tc>
        <w:tc>
          <w:tcPr>
            <w:tcW w:w="851" w:type="dxa"/>
            <w:tcBorders>
              <w:top w:val="single" w:sz="4" w:space="0" w:color="auto"/>
              <w:left w:val="single" w:sz="4" w:space="0" w:color="auto"/>
              <w:bottom w:val="single" w:sz="4" w:space="0" w:color="auto"/>
              <w:right w:val="single" w:sz="4" w:space="0" w:color="auto"/>
            </w:tcBorders>
            <w:vAlign w:val="bottom"/>
            <w:hideMark/>
          </w:tcPr>
          <w:p w14:paraId="271044C4" w14:textId="77777777" w:rsidR="00E243E9" w:rsidRPr="004B0B63" w:rsidRDefault="00E243E9" w:rsidP="00B477DF">
            <w:pPr>
              <w:rPr>
                <w:rFonts w:ascii="Calibri" w:hAnsi="Calibri" w:cs="Calibri"/>
                <w:b/>
                <w:bCs/>
                <w:color w:val="000000"/>
                <w:sz w:val="16"/>
              </w:rPr>
            </w:pPr>
            <w:r w:rsidRPr="004B0B63">
              <w:rPr>
                <w:rFonts w:ascii="Calibri" w:hAnsi="Calibri" w:cs="Calibri"/>
                <w:b/>
                <w:bCs/>
                <w:color w:val="000000"/>
                <w:sz w:val="16"/>
              </w:rPr>
              <w:t>Per (UE, cell, TRP, …)</w:t>
            </w:r>
          </w:p>
        </w:tc>
        <w:tc>
          <w:tcPr>
            <w:tcW w:w="992" w:type="dxa"/>
            <w:tcBorders>
              <w:top w:val="single" w:sz="4" w:space="0" w:color="auto"/>
              <w:left w:val="single" w:sz="4" w:space="0" w:color="auto"/>
              <w:bottom w:val="single" w:sz="4" w:space="0" w:color="auto"/>
              <w:right w:val="single" w:sz="4" w:space="0" w:color="auto"/>
            </w:tcBorders>
            <w:vAlign w:val="bottom"/>
            <w:hideMark/>
          </w:tcPr>
          <w:p w14:paraId="362AEDDE" w14:textId="77777777" w:rsidR="00E243E9" w:rsidRPr="004B0B63" w:rsidRDefault="00E243E9" w:rsidP="00B477DF">
            <w:pPr>
              <w:rPr>
                <w:rFonts w:ascii="Calibri" w:hAnsi="Calibri" w:cs="Calibri"/>
                <w:b/>
                <w:bCs/>
                <w:color w:val="000000"/>
                <w:sz w:val="16"/>
              </w:rPr>
            </w:pPr>
            <w:r w:rsidRPr="004B0B63">
              <w:rPr>
                <w:rFonts w:ascii="Calibri" w:hAnsi="Calibri" w:cs="Calibri"/>
                <w:b/>
                <w:bCs/>
                <w:color w:val="000000"/>
                <w:sz w:val="16"/>
              </w:rPr>
              <w:t>Broadcast/dedicated</w:t>
            </w:r>
          </w:p>
        </w:tc>
        <w:tc>
          <w:tcPr>
            <w:tcW w:w="2835" w:type="dxa"/>
            <w:tcBorders>
              <w:top w:val="single" w:sz="4" w:space="0" w:color="auto"/>
              <w:left w:val="single" w:sz="4" w:space="0" w:color="auto"/>
              <w:bottom w:val="single" w:sz="4" w:space="0" w:color="auto"/>
              <w:right w:val="single" w:sz="4" w:space="0" w:color="auto"/>
            </w:tcBorders>
            <w:vAlign w:val="bottom"/>
            <w:hideMark/>
          </w:tcPr>
          <w:p w14:paraId="27F42F3F" w14:textId="77777777" w:rsidR="00E243E9" w:rsidRPr="004B0B63" w:rsidRDefault="00E243E9" w:rsidP="00B477DF">
            <w:pPr>
              <w:rPr>
                <w:rFonts w:ascii="Calibri" w:hAnsi="Calibri" w:cs="Calibri"/>
                <w:b/>
                <w:bCs/>
                <w:color w:val="000000"/>
                <w:sz w:val="16"/>
              </w:rPr>
            </w:pPr>
            <w:r w:rsidRPr="004B0B63">
              <w:rPr>
                <w:rFonts w:ascii="Calibri" w:hAnsi="Calibri" w:cs="Calibri"/>
                <w:b/>
                <w:bCs/>
                <w:color w:val="000000"/>
                <w:sz w:val="16"/>
              </w:rPr>
              <w:t>Description</w:t>
            </w:r>
          </w:p>
        </w:tc>
        <w:tc>
          <w:tcPr>
            <w:tcW w:w="1701" w:type="dxa"/>
            <w:tcBorders>
              <w:top w:val="single" w:sz="4" w:space="0" w:color="auto"/>
              <w:left w:val="single" w:sz="4" w:space="0" w:color="auto"/>
              <w:bottom w:val="single" w:sz="4" w:space="0" w:color="auto"/>
              <w:right w:val="single" w:sz="4" w:space="0" w:color="auto"/>
            </w:tcBorders>
            <w:vAlign w:val="bottom"/>
            <w:hideMark/>
          </w:tcPr>
          <w:p w14:paraId="5DC5564E" w14:textId="77777777" w:rsidR="00E243E9" w:rsidRPr="004B0B63" w:rsidRDefault="00E243E9" w:rsidP="00B477DF">
            <w:pPr>
              <w:rPr>
                <w:rFonts w:ascii="Calibri" w:hAnsi="Calibri" w:cs="Calibri"/>
                <w:b/>
                <w:bCs/>
                <w:color w:val="000000"/>
                <w:sz w:val="16"/>
              </w:rPr>
            </w:pPr>
            <w:r w:rsidRPr="004B0B63">
              <w:rPr>
                <w:rFonts w:ascii="Calibri" w:hAnsi="Calibri" w:cs="Calibri"/>
                <w:b/>
                <w:bCs/>
                <w:color w:val="000000"/>
                <w:sz w:val="16"/>
              </w:rPr>
              <w:t>Configuration restriction (if any)</w:t>
            </w:r>
          </w:p>
        </w:tc>
      </w:tr>
      <w:tr w:rsidR="00E243E9" w:rsidRPr="00B848CC" w14:paraId="7BCAF5BC" w14:textId="77777777" w:rsidTr="00B477DF">
        <w:tc>
          <w:tcPr>
            <w:tcW w:w="1255" w:type="dxa"/>
            <w:tcBorders>
              <w:top w:val="single" w:sz="4" w:space="0" w:color="auto"/>
              <w:left w:val="single" w:sz="4" w:space="0" w:color="auto"/>
              <w:bottom w:val="single" w:sz="4" w:space="0" w:color="auto"/>
              <w:right w:val="single" w:sz="4" w:space="0" w:color="auto"/>
            </w:tcBorders>
            <w:vAlign w:val="bottom"/>
          </w:tcPr>
          <w:p w14:paraId="168882BD" w14:textId="146FD4C2" w:rsidR="00E243E9" w:rsidRPr="00BD2C7F" w:rsidRDefault="00333E28" w:rsidP="00E243E9">
            <w:pPr>
              <w:rPr>
                <w:rFonts w:ascii="Calibri" w:hAnsi="Calibri" w:cs="Calibri"/>
                <w:color w:val="FF0000"/>
                <w:sz w:val="16"/>
              </w:rPr>
            </w:pPr>
            <w:r>
              <w:rPr>
                <w:rFonts w:ascii="Calibri" w:hAnsi="Calibri" w:cs="Calibri"/>
                <w:color w:val="FF0000"/>
                <w:sz w:val="16"/>
              </w:rPr>
              <w:t>frequencyDomainResources</w:t>
            </w:r>
            <w:r w:rsidR="00E243E9" w:rsidRPr="00BD2C7F">
              <w:rPr>
                <w:rFonts w:ascii="Calibri" w:hAnsi="Calibri" w:cs="Calibri"/>
                <w:color w:val="FF0000"/>
                <w:sz w:val="16"/>
              </w:rPr>
              <w:t>List-r16</w:t>
            </w:r>
          </w:p>
        </w:tc>
        <w:tc>
          <w:tcPr>
            <w:tcW w:w="1292" w:type="dxa"/>
            <w:tcBorders>
              <w:top w:val="single" w:sz="4" w:space="0" w:color="auto"/>
              <w:left w:val="single" w:sz="4" w:space="0" w:color="auto"/>
              <w:bottom w:val="single" w:sz="4" w:space="0" w:color="auto"/>
              <w:right w:val="single" w:sz="4" w:space="0" w:color="auto"/>
            </w:tcBorders>
            <w:vAlign w:val="bottom"/>
          </w:tcPr>
          <w:p w14:paraId="0E0C5C50" w14:textId="09CAEA56" w:rsidR="00E243E9" w:rsidRPr="00BD2C7F" w:rsidRDefault="00E243E9" w:rsidP="00B477DF">
            <w:pPr>
              <w:rPr>
                <w:rFonts w:ascii="Calibri" w:hAnsi="Calibri" w:cs="Calibri"/>
                <w:color w:val="FF0000"/>
                <w:sz w:val="16"/>
              </w:rPr>
            </w:pPr>
          </w:p>
        </w:tc>
        <w:tc>
          <w:tcPr>
            <w:tcW w:w="992" w:type="dxa"/>
            <w:tcBorders>
              <w:top w:val="single" w:sz="4" w:space="0" w:color="auto"/>
              <w:left w:val="single" w:sz="4" w:space="0" w:color="auto"/>
              <w:bottom w:val="single" w:sz="4" w:space="0" w:color="auto"/>
              <w:right w:val="single" w:sz="4" w:space="0" w:color="auto"/>
            </w:tcBorders>
            <w:vAlign w:val="bottom"/>
          </w:tcPr>
          <w:p w14:paraId="0B3E1FC4" w14:textId="77777777" w:rsidR="00E243E9" w:rsidRPr="00BD2C7F" w:rsidRDefault="00E243E9" w:rsidP="00B477DF">
            <w:pPr>
              <w:rPr>
                <w:rFonts w:ascii="Calibri" w:hAnsi="Calibri" w:cs="Calibri"/>
                <w:color w:val="FF0000"/>
                <w:sz w:val="16"/>
              </w:rPr>
            </w:pPr>
            <w:r w:rsidRPr="00BD2C7F">
              <w:rPr>
                <w:rFonts w:ascii="Calibri" w:hAnsi="Calibri" w:cs="Calibri"/>
                <w:color w:val="FF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6955463E" w14:textId="77777777" w:rsidR="00E243E9" w:rsidRPr="00BD2C7F" w:rsidRDefault="00E243E9" w:rsidP="00B477DF">
            <w:pPr>
              <w:rPr>
                <w:rFonts w:ascii="Calibri" w:hAnsi="Calibri" w:cs="Calibri"/>
                <w:color w:val="FF0000"/>
                <w:sz w:val="16"/>
              </w:rPr>
            </w:pPr>
            <w:r w:rsidRPr="00BD2C7F">
              <w:rPr>
                <w:rFonts w:ascii="Calibri" w:hAnsi="Calibri" w:cs="Calibri" w:hint="eastAsia"/>
                <w:color w:val="FF0000"/>
                <w:sz w:val="16"/>
              </w:rPr>
              <w:t>Per UE</w:t>
            </w:r>
          </w:p>
        </w:tc>
        <w:tc>
          <w:tcPr>
            <w:tcW w:w="992" w:type="dxa"/>
            <w:tcBorders>
              <w:top w:val="single" w:sz="4" w:space="0" w:color="auto"/>
              <w:left w:val="single" w:sz="4" w:space="0" w:color="auto"/>
              <w:bottom w:val="single" w:sz="4" w:space="0" w:color="auto"/>
              <w:right w:val="single" w:sz="4" w:space="0" w:color="auto"/>
            </w:tcBorders>
            <w:vAlign w:val="bottom"/>
          </w:tcPr>
          <w:p w14:paraId="0774A087" w14:textId="77777777" w:rsidR="00E243E9" w:rsidRPr="00BD2C7F" w:rsidRDefault="00E243E9" w:rsidP="00B477DF">
            <w:pPr>
              <w:rPr>
                <w:rFonts w:ascii="Calibri" w:hAnsi="Calibri" w:cs="Calibri"/>
                <w:color w:val="FF0000"/>
                <w:sz w:val="16"/>
              </w:rPr>
            </w:pPr>
            <w:r w:rsidRPr="00BD2C7F">
              <w:rPr>
                <w:rFonts w:ascii="Calibri" w:hAnsi="Calibri" w:cs="Calibri"/>
                <w:color w:val="FF0000"/>
                <w:sz w:val="16"/>
              </w:rPr>
              <w:t xml:space="preserve">Dedicated </w:t>
            </w:r>
          </w:p>
        </w:tc>
        <w:tc>
          <w:tcPr>
            <w:tcW w:w="2835" w:type="dxa"/>
            <w:tcBorders>
              <w:top w:val="single" w:sz="4" w:space="0" w:color="auto"/>
              <w:left w:val="single" w:sz="4" w:space="0" w:color="auto"/>
              <w:bottom w:val="single" w:sz="4" w:space="0" w:color="auto"/>
              <w:right w:val="single" w:sz="4" w:space="0" w:color="auto"/>
            </w:tcBorders>
            <w:vAlign w:val="bottom"/>
          </w:tcPr>
          <w:p w14:paraId="50F3DC5C" w14:textId="3B1FCDD7" w:rsidR="00F14244" w:rsidRPr="00BD2C7F" w:rsidRDefault="00F14244" w:rsidP="00B477DF">
            <w:pPr>
              <w:rPr>
                <w:rFonts w:ascii="Calibri" w:hAnsi="Calibri" w:cs="Calibri"/>
                <w:color w:val="FF0000"/>
                <w:sz w:val="16"/>
              </w:rPr>
            </w:pPr>
            <w:r w:rsidRPr="00BD2C7F">
              <w:rPr>
                <w:rFonts w:ascii="Calibri" w:hAnsi="Calibri" w:cs="Calibri" w:hint="eastAsia"/>
                <w:color w:val="FF0000"/>
                <w:sz w:val="16"/>
              </w:rPr>
              <w:t>A</w:t>
            </w:r>
            <w:r w:rsidRPr="00BD2C7F">
              <w:rPr>
                <w:rFonts w:ascii="Calibri" w:hAnsi="Calibri" w:cs="Calibri"/>
                <w:color w:val="FF0000"/>
                <w:sz w:val="16"/>
              </w:rPr>
              <w:t>dded in ControlResourceSet</w:t>
            </w:r>
          </w:p>
          <w:p w14:paraId="203F1304" w14:textId="5D893B86" w:rsidR="00E243E9" w:rsidRPr="00BD2C7F" w:rsidRDefault="00F14244" w:rsidP="00C17E4A">
            <w:pPr>
              <w:rPr>
                <w:rFonts w:ascii="Calibri" w:hAnsi="Calibri" w:cs="Calibri"/>
                <w:color w:val="FF0000"/>
                <w:sz w:val="16"/>
              </w:rPr>
            </w:pPr>
            <w:r w:rsidRPr="00BD2C7F">
              <w:rPr>
                <w:rFonts w:ascii="Calibri" w:hAnsi="Calibri" w:cs="Calibri"/>
                <w:color w:val="FF0000"/>
                <w:sz w:val="16"/>
              </w:rPr>
              <w:t xml:space="preserve">List of frequencyDomainResources to indicate multiple monitoring locations in the frequency domain. </w:t>
            </w:r>
            <w:r w:rsidR="00C17E4A" w:rsidRPr="00BD2C7F">
              <w:rPr>
                <w:rFonts w:ascii="Calibri" w:hAnsi="Calibri" w:cs="Calibri"/>
                <w:color w:val="FF0000"/>
                <w:sz w:val="16"/>
              </w:rPr>
              <w:t>UE capable of wideband operation Case 2 can be configured up to 5 frequencyDomainResources.</w:t>
            </w:r>
          </w:p>
        </w:tc>
        <w:tc>
          <w:tcPr>
            <w:tcW w:w="1701" w:type="dxa"/>
            <w:tcBorders>
              <w:top w:val="single" w:sz="4" w:space="0" w:color="auto"/>
              <w:left w:val="single" w:sz="4" w:space="0" w:color="auto"/>
              <w:bottom w:val="single" w:sz="4" w:space="0" w:color="auto"/>
              <w:right w:val="single" w:sz="4" w:space="0" w:color="auto"/>
            </w:tcBorders>
            <w:vAlign w:val="bottom"/>
          </w:tcPr>
          <w:p w14:paraId="2EC94E3B" w14:textId="77777777" w:rsidR="00E243E9" w:rsidRPr="00BD2C7F" w:rsidRDefault="00E243E9" w:rsidP="00B477DF">
            <w:pPr>
              <w:rPr>
                <w:rFonts w:ascii="Calibri" w:hAnsi="Calibri" w:cs="Calibri"/>
                <w:color w:val="FF0000"/>
                <w:sz w:val="16"/>
              </w:rPr>
            </w:pPr>
          </w:p>
        </w:tc>
      </w:tr>
    </w:tbl>
    <w:p w14:paraId="4868BA08" w14:textId="77777777" w:rsidR="00DE77D0" w:rsidRPr="00E243E9" w:rsidRDefault="00DE77D0" w:rsidP="00DE77D0">
      <w:pPr>
        <w:rPr>
          <w:rFonts w:eastAsia="ＭＳ 明朝"/>
          <w:sz w:val="22"/>
        </w:rPr>
      </w:pPr>
    </w:p>
    <w:sectPr w:rsidR="00DE77D0" w:rsidRPr="00E243E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1A5B2" w14:textId="77777777" w:rsidR="0003329F" w:rsidRDefault="0003329F">
      <w:r>
        <w:separator/>
      </w:r>
    </w:p>
  </w:endnote>
  <w:endnote w:type="continuationSeparator" w:id="0">
    <w:p w14:paraId="3E6C5A4B" w14:textId="77777777" w:rsidR="0003329F" w:rsidRDefault="0003329F">
      <w:r>
        <w:continuationSeparator/>
      </w:r>
    </w:p>
  </w:endnote>
  <w:endnote w:type="continuationNotice" w:id="1">
    <w:p w14:paraId="2D96E47A" w14:textId="77777777" w:rsidR="0003329F" w:rsidRDefault="00033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3CAC3FD"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0338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0338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78C2F" w14:textId="77777777" w:rsidR="0003329F" w:rsidRDefault="0003329F">
      <w:r>
        <w:separator/>
      </w:r>
    </w:p>
  </w:footnote>
  <w:footnote w:type="continuationSeparator" w:id="0">
    <w:p w14:paraId="527B6586" w14:textId="77777777" w:rsidR="0003329F" w:rsidRDefault="0003329F">
      <w:r>
        <w:continuationSeparator/>
      </w:r>
    </w:p>
  </w:footnote>
  <w:footnote w:type="continuationNotice" w:id="1">
    <w:p w14:paraId="12E3EBB6" w14:textId="77777777" w:rsidR="0003329F" w:rsidRDefault="0003329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A92B90"/>
    <w:multiLevelType w:val="hybridMultilevel"/>
    <w:tmpl w:val="FB50E652"/>
    <w:lvl w:ilvl="0" w:tplc="C3EE05D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1D5007"/>
    <w:multiLevelType w:val="hybridMultilevel"/>
    <w:tmpl w:val="DE24B834"/>
    <w:lvl w:ilvl="0" w:tplc="3170E59C">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CC21BF"/>
    <w:multiLevelType w:val="hybridMultilevel"/>
    <w:tmpl w:val="AC7A3A4E"/>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04728E"/>
    <w:multiLevelType w:val="hybridMultilevel"/>
    <w:tmpl w:val="F7A8A778"/>
    <w:lvl w:ilvl="0" w:tplc="2B466B5E">
      <w:start w:val="1"/>
      <w:numFmt w:val="bullet"/>
      <w:lvlText w:val="–"/>
      <w:lvlJc w:val="left"/>
      <w:pPr>
        <w:tabs>
          <w:tab w:val="num" w:pos="720"/>
        </w:tabs>
        <w:ind w:left="720" w:hanging="360"/>
      </w:pPr>
      <w:rPr>
        <w:rFonts w:ascii="ＭＳ Ｐゴシック" w:hAnsi="ＭＳ Ｐゴシック" w:hint="default"/>
      </w:rPr>
    </w:lvl>
    <w:lvl w:ilvl="1" w:tplc="8A9E7128">
      <w:start w:val="1"/>
      <w:numFmt w:val="bullet"/>
      <w:lvlText w:val="–"/>
      <w:lvlJc w:val="left"/>
      <w:pPr>
        <w:tabs>
          <w:tab w:val="num" w:pos="1440"/>
        </w:tabs>
        <w:ind w:left="1440" w:hanging="360"/>
      </w:pPr>
      <w:rPr>
        <w:rFonts w:ascii="ＭＳ Ｐゴシック" w:hAnsi="ＭＳ Ｐゴシック" w:hint="default"/>
      </w:rPr>
    </w:lvl>
    <w:lvl w:ilvl="2" w:tplc="8BC0E2CC" w:tentative="1">
      <w:start w:val="1"/>
      <w:numFmt w:val="bullet"/>
      <w:lvlText w:val="–"/>
      <w:lvlJc w:val="left"/>
      <w:pPr>
        <w:tabs>
          <w:tab w:val="num" w:pos="2160"/>
        </w:tabs>
        <w:ind w:left="2160" w:hanging="360"/>
      </w:pPr>
      <w:rPr>
        <w:rFonts w:ascii="ＭＳ Ｐゴシック" w:hAnsi="ＭＳ Ｐゴシック" w:hint="default"/>
      </w:rPr>
    </w:lvl>
    <w:lvl w:ilvl="3" w:tplc="55D090E2" w:tentative="1">
      <w:start w:val="1"/>
      <w:numFmt w:val="bullet"/>
      <w:lvlText w:val="–"/>
      <w:lvlJc w:val="left"/>
      <w:pPr>
        <w:tabs>
          <w:tab w:val="num" w:pos="2880"/>
        </w:tabs>
        <w:ind w:left="2880" w:hanging="360"/>
      </w:pPr>
      <w:rPr>
        <w:rFonts w:ascii="ＭＳ Ｐゴシック" w:hAnsi="ＭＳ Ｐゴシック" w:hint="default"/>
      </w:rPr>
    </w:lvl>
    <w:lvl w:ilvl="4" w:tplc="A1A27212" w:tentative="1">
      <w:start w:val="1"/>
      <w:numFmt w:val="bullet"/>
      <w:lvlText w:val="–"/>
      <w:lvlJc w:val="left"/>
      <w:pPr>
        <w:tabs>
          <w:tab w:val="num" w:pos="3600"/>
        </w:tabs>
        <w:ind w:left="3600" w:hanging="360"/>
      </w:pPr>
      <w:rPr>
        <w:rFonts w:ascii="ＭＳ Ｐゴシック" w:hAnsi="ＭＳ Ｐゴシック" w:hint="default"/>
      </w:rPr>
    </w:lvl>
    <w:lvl w:ilvl="5" w:tplc="A2007B78" w:tentative="1">
      <w:start w:val="1"/>
      <w:numFmt w:val="bullet"/>
      <w:lvlText w:val="–"/>
      <w:lvlJc w:val="left"/>
      <w:pPr>
        <w:tabs>
          <w:tab w:val="num" w:pos="4320"/>
        </w:tabs>
        <w:ind w:left="4320" w:hanging="360"/>
      </w:pPr>
      <w:rPr>
        <w:rFonts w:ascii="ＭＳ Ｐゴシック" w:hAnsi="ＭＳ Ｐゴシック" w:hint="default"/>
      </w:rPr>
    </w:lvl>
    <w:lvl w:ilvl="6" w:tplc="26ACD8C6" w:tentative="1">
      <w:start w:val="1"/>
      <w:numFmt w:val="bullet"/>
      <w:lvlText w:val="–"/>
      <w:lvlJc w:val="left"/>
      <w:pPr>
        <w:tabs>
          <w:tab w:val="num" w:pos="5040"/>
        </w:tabs>
        <w:ind w:left="5040" w:hanging="360"/>
      </w:pPr>
      <w:rPr>
        <w:rFonts w:ascii="ＭＳ Ｐゴシック" w:hAnsi="ＭＳ Ｐゴシック" w:hint="default"/>
      </w:rPr>
    </w:lvl>
    <w:lvl w:ilvl="7" w:tplc="DACC71C8" w:tentative="1">
      <w:start w:val="1"/>
      <w:numFmt w:val="bullet"/>
      <w:lvlText w:val="–"/>
      <w:lvlJc w:val="left"/>
      <w:pPr>
        <w:tabs>
          <w:tab w:val="num" w:pos="5760"/>
        </w:tabs>
        <w:ind w:left="5760" w:hanging="360"/>
      </w:pPr>
      <w:rPr>
        <w:rFonts w:ascii="ＭＳ Ｐゴシック" w:hAnsi="ＭＳ Ｐゴシック" w:hint="default"/>
      </w:rPr>
    </w:lvl>
    <w:lvl w:ilvl="8" w:tplc="841ED91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8A7D9B"/>
    <w:multiLevelType w:val="hybridMultilevel"/>
    <w:tmpl w:val="DD827D68"/>
    <w:lvl w:ilvl="0" w:tplc="C3EE05DA">
      <w:start w:val="1"/>
      <w:numFmt w:val="bullet"/>
      <w:lvlText w:val="•"/>
      <w:lvlJc w:val="left"/>
      <w:pPr>
        <w:tabs>
          <w:tab w:val="num" w:pos="720"/>
        </w:tabs>
        <w:ind w:left="720" w:hanging="360"/>
      </w:pPr>
      <w:rPr>
        <w:rFonts w:ascii="Arial" w:hAnsi="Arial" w:hint="default"/>
      </w:rPr>
    </w:lvl>
    <w:lvl w:ilvl="1" w:tplc="BC1C3080">
      <w:numFmt w:val="bullet"/>
      <w:lvlText w:val="-"/>
      <w:lvlJc w:val="left"/>
      <w:pPr>
        <w:ind w:left="1440" w:hanging="360"/>
      </w:pPr>
      <w:rPr>
        <w:rFonts w:ascii="Times New Roman" w:eastAsia="Batang" w:hAnsi="Times New Roman" w:cs="Times New Roman"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E6601"/>
    <w:multiLevelType w:val="hybridMultilevel"/>
    <w:tmpl w:val="ED30FA62"/>
    <w:lvl w:ilvl="0" w:tplc="81D8CC46">
      <w:numFmt w:val="bullet"/>
      <w:lvlText w:val="•"/>
      <w:lvlJc w:val="left"/>
      <w:pPr>
        <w:ind w:left="420" w:hanging="420"/>
      </w:pPr>
      <w:rPr>
        <w:rFonts w:ascii="Arial" w:eastAsia="Times New Roman"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F72DC1"/>
    <w:multiLevelType w:val="hybridMultilevel"/>
    <w:tmpl w:val="FCA8433E"/>
    <w:lvl w:ilvl="0" w:tplc="C3EE05D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F733A3"/>
    <w:multiLevelType w:val="hybridMultilevel"/>
    <w:tmpl w:val="8848C6A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1F1C15"/>
    <w:multiLevelType w:val="hybridMultilevel"/>
    <w:tmpl w:val="FDF8CAB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48D67E0"/>
    <w:multiLevelType w:val="hybridMultilevel"/>
    <w:tmpl w:val="A95A7EB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9873FF"/>
    <w:multiLevelType w:val="hybridMultilevel"/>
    <w:tmpl w:val="975AD3BA"/>
    <w:lvl w:ilvl="0" w:tplc="3170E59C">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7A36F34"/>
    <w:multiLevelType w:val="hybridMultilevel"/>
    <w:tmpl w:val="5B1A817E"/>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D6748"/>
    <w:multiLevelType w:val="hybridMultilevel"/>
    <w:tmpl w:val="F9164F0C"/>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6"/>
  </w:num>
  <w:num w:numId="4">
    <w:abstractNumId w:val="9"/>
  </w:num>
  <w:num w:numId="5">
    <w:abstractNumId w:val="39"/>
  </w:num>
  <w:num w:numId="6">
    <w:abstractNumId w:val="28"/>
  </w:num>
  <w:num w:numId="7">
    <w:abstractNumId w:val="38"/>
  </w:num>
  <w:num w:numId="8">
    <w:abstractNumId w:val="6"/>
  </w:num>
  <w:num w:numId="9">
    <w:abstractNumId w:val="24"/>
  </w:num>
  <w:num w:numId="10">
    <w:abstractNumId w:val="14"/>
  </w:num>
  <w:num w:numId="11">
    <w:abstractNumId w:val="29"/>
  </w:num>
  <w:num w:numId="12">
    <w:abstractNumId w:val="36"/>
  </w:num>
  <w:num w:numId="13">
    <w:abstractNumId w:val="34"/>
  </w:num>
  <w:num w:numId="14">
    <w:abstractNumId w:val="35"/>
  </w:num>
  <w:num w:numId="15">
    <w:abstractNumId w:val="33"/>
  </w:num>
  <w:num w:numId="16">
    <w:abstractNumId w:val="5"/>
  </w:num>
  <w:num w:numId="17">
    <w:abstractNumId w:val="18"/>
  </w:num>
  <w:num w:numId="18">
    <w:abstractNumId w:val="19"/>
  </w:num>
  <w:num w:numId="19">
    <w:abstractNumId w:val="3"/>
  </w:num>
  <w:num w:numId="20">
    <w:abstractNumId w:val="7"/>
  </w:num>
  <w:num w:numId="21">
    <w:abstractNumId w:val="13"/>
  </w:num>
  <w:num w:numId="22">
    <w:abstractNumId w:val="21"/>
  </w:num>
  <w:num w:numId="23">
    <w:abstractNumId w:val="26"/>
  </w:num>
  <w:num w:numId="24">
    <w:abstractNumId w:val="25"/>
  </w:num>
  <w:num w:numId="25">
    <w:abstractNumId w:val="2"/>
  </w:num>
  <w:num w:numId="26">
    <w:abstractNumId w:val="4"/>
  </w:num>
  <w:num w:numId="27">
    <w:abstractNumId w:val="30"/>
  </w:num>
  <w:num w:numId="28">
    <w:abstractNumId w:val="12"/>
  </w:num>
  <w:num w:numId="29">
    <w:abstractNumId w:val="22"/>
  </w:num>
  <w:num w:numId="30">
    <w:abstractNumId w:val="37"/>
  </w:num>
  <w:num w:numId="31">
    <w:abstractNumId w:val="23"/>
  </w:num>
  <w:num w:numId="32">
    <w:abstractNumId w:val="20"/>
  </w:num>
  <w:num w:numId="33">
    <w:abstractNumId w:val="10"/>
  </w:num>
  <w:num w:numId="34">
    <w:abstractNumId w:val="31"/>
  </w:num>
  <w:num w:numId="35">
    <w:abstractNumId w:val="27"/>
  </w:num>
  <w:num w:numId="36">
    <w:abstractNumId w:val="11"/>
  </w:num>
  <w:num w:numId="37">
    <w:abstractNumId w:val="40"/>
  </w:num>
  <w:num w:numId="38">
    <w:abstractNumId w:val="8"/>
  </w:num>
  <w:num w:numId="39">
    <w:abstractNumId w:val="1"/>
  </w:num>
  <w:num w:numId="40">
    <w:abstractNumId w:val="15"/>
  </w:num>
  <w:num w:numId="4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433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83D"/>
    <w:rsid w:val="00002938"/>
    <w:rsid w:val="00002AFC"/>
    <w:rsid w:val="00002E18"/>
    <w:rsid w:val="0000343D"/>
    <w:rsid w:val="00003973"/>
    <w:rsid w:val="00003A56"/>
    <w:rsid w:val="00003AE4"/>
    <w:rsid w:val="00003B06"/>
    <w:rsid w:val="00003F7F"/>
    <w:rsid w:val="000040F4"/>
    <w:rsid w:val="000041B5"/>
    <w:rsid w:val="000044B4"/>
    <w:rsid w:val="00004C7C"/>
    <w:rsid w:val="00004DDA"/>
    <w:rsid w:val="0000530F"/>
    <w:rsid w:val="00005493"/>
    <w:rsid w:val="00005541"/>
    <w:rsid w:val="00005B74"/>
    <w:rsid w:val="00005C60"/>
    <w:rsid w:val="0000600D"/>
    <w:rsid w:val="00006248"/>
    <w:rsid w:val="00006D37"/>
    <w:rsid w:val="000070BF"/>
    <w:rsid w:val="00007533"/>
    <w:rsid w:val="000075B2"/>
    <w:rsid w:val="00007AD6"/>
    <w:rsid w:val="00007B5C"/>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D0B"/>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29F"/>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C99"/>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B19"/>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A96"/>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9BF"/>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69"/>
    <w:rsid w:val="00057C70"/>
    <w:rsid w:val="00057F42"/>
    <w:rsid w:val="00057F5E"/>
    <w:rsid w:val="0006006F"/>
    <w:rsid w:val="00060523"/>
    <w:rsid w:val="00060D60"/>
    <w:rsid w:val="00060E40"/>
    <w:rsid w:val="00060F19"/>
    <w:rsid w:val="0006106B"/>
    <w:rsid w:val="00061140"/>
    <w:rsid w:val="000614A4"/>
    <w:rsid w:val="000616EA"/>
    <w:rsid w:val="00061B4B"/>
    <w:rsid w:val="000626A3"/>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5B0"/>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0BD"/>
    <w:rsid w:val="00081532"/>
    <w:rsid w:val="00081697"/>
    <w:rsid w:val="00081714"/>
    <w:rsid w:val="00081C3F"/>
    <w:rsid w:val="00081C52"/>
    <w:rsid w:val="00081FAB"/>
    <w:rsid w:val="0008201A"/>
    <w:rsid w:val="00082450"/>
    <w:rsid w:val="00082A22"/>
    <w:rsid w:val="00082C00"/>
    <w:rsid w:val="00082E51"/>
    <w:rsid w:val="00083306"/>
    <w:rsid w:val="00083382"/>
    <w:rsid w:val="000834F3"/>
    <w:rsid w:val="000835BC"/>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40"/>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86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35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A37"/>
    <w:rsid w:val="000B0DB3"/>
    <w:rsid w:val="000B1298"/>
    <w:rsid w:val="000B16EB"/>
    <w:rsid w:val="000B1BDB"/>
    <w:rsid w:val="000B244F"/>
    <w:rsid w:val="000B2B16"/>
    <w:rsid w:val="000B35F4"/>
    <w:rsid w:val="000B390A"/>
    <w:rsid w:val="000B4059"/>
    <w:rsid w:val="000B442C"/>
    <w:rsid w:val="000B46A2"/>
    <w:rsid w:val="000B49F2"/>
    <w:rsid w:val="000B4E07"/>
    <w:rsid w:val="000B4E81"/>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42C"/>
    <w:rsid w:val="000C1DBE"/>
    <w:rsid w:val="000C1F3B"/>
    <w:rsid w:val="000C2058"/>
    <w:rsid w:val="000C21A2"/>
    <w:rsid w:val="000C259D"/>
    <w:rsid w:val="000C2B17"/>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5E6"/>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656"/>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3CC6"/>
    <w:rsid w:val="001142BF"/>
    <w:rsid w:val="001143A3"/>
    <w:rsid w:val="001147D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813"/>
    <w:rsid w:val="00120A55"/>
    <w:rsid w:val="00120A5F"/>
    <w:rsid w:val="00120CB4"/>
    <w:rsid w:val="00122527"/>
    <w:rsid w:val="00122B79"/>
    <w:rsid w:val="00122F23"/>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790"/>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AC8"/>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3A"/>
    <w:rsid w:val="00143B01"/>
    <w:rsid w:val="00143DBE"/>
    <w:rsid w:val="0014415F"/>
    <w:rsid w:val="00144294"/>
    <w:rsid w:val="0014491B"/>
    <w:rsid w:val="00144EE2"/>
    <w:rsid w:val="0014501E"/>
    <w:rsid w:val="00145072"/>
    <w:rsid w:val="001450AD"/>
    <w:rsid w:val="001456A7"/>
    <w:rsid w:val="001457A0"/>
    <w:rsid w:val="00145F02"/>
    <w:rsid w:val="001460DE"/>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E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C04"/>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C69"/>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30"/>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2D11"/>
    <w:rsid w:val="001E40F0"/>
    <w:rsid w:val="001E421A"/>
    <w:rsid w:val="001E4282"/>
    <w:rsid w:val="001E42AC"/>
    <w:rsid w:val="001E42B3"/>
    <w:rsid w:val="001E42D7"/>
    <w:rsid w:val="001E4340"/>
    <w:rsid w:val="001E4B78"/>
    <w:rsid w:val="001E4F1B"/>
    <w:rsid w:val="001E4F6D"/>
    <w:rsid w:val="001E505D"/>
    <w:rsid w:val="001E590C"/>
    <w:rsid w:val="001E5912"/>
    <w:rsid w:val="001E6168"/>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380"/>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333"/>
    <w:rsid w:val="00205C3E"/>
    <w:rsid w:val="00205C47"/>
    <w:rsid w:val="00206217"/>
    <w:rsid w:val="0020637C"/>
    <w:rsid w:val="00206598"/>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BD8"/>
    <w:rsid w:val="002122BB"/>
    <w:rsid w:val="00212447"/>
    <w:rsid w:val="00212557"/>
    <w:rsid w:val="00212805"/>
    <w:rsid w:val="00214338"/>
    <w:rsid w:val="0021460B"/>
    <w:rsid w:val="00214F2E"/>
    <w:rsid w:val="00215106"/>
    <w:rsid w:val="0021532E"/>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088"/>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220"/>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A5"/>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6AB"/>
    <w:rsid w:val="002727EE"/>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3DB3"/>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81C"/>
    <w:rsid w:val="002A1A23"/>
    <w:rsid w:val="002A1C9F"/>
    <w:rsid w:val="002A1E4B"/>
    <w:rsid w:val="002A225A"/>
    <w:rsid w:val="002A2591"/>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0F2"/>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6F94"/>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B86"/>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BC6"/>
    <w:rsid w:val="002F3C95"/>
    <w:rsid w:val="002F44A6"/>
    <w:rsid w:val="002F4541"/>
    <w:rsid w:val="002F4AB3"/>
    <w:rsid w:val="002F4F8C"/>
    <w:rsid w:val="002F591D"/>
    <w:rsid w:val="002F6001"/>
    <w:rsid w:val="002F63DA"/>
    <w:rsid w:val="002F65D7"/>
    <w:rsid w:val="002F6B38"/>
    <w:rsid w:val="002F6EE2"/>
    <w:rsid w:val="002F7955"/>
    <w:rsid w:val="00300392"/>
    <w:rsid w:val="003004D5"/>
    <w:rsid w:val="00300993"/>
    <w:rsid w:val="00300A3C"/>
    <w:rsid w:val="00300AB2"/>
    <w:rsid w:val="00300D00"/>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5E15"/>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C24"/>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29"/>
    <w:rsid w:val="00330F77"/>
    <w:rsid w:val="00331351"/>
    <w:rsid w:val="00331413"/>
    <w:rsid w:val="0033191F"/>
    <w:rsid w:val="00331A49"/>
    <w:rsid w:val="00331C24"/>
    <w:rsid w:val="00331D8C"/>
    <w:rsid w:val="00331EFF"/>
    <w:rsid w:val="00332667"/>
    <w:rsid w:val="0033290C"/>
    <w:rsid w:val="00332BCF"/>
    <w:rsid w:val="00333064"/>
    <w:rsid w:val="00333547"/>
    <w:rsid w:val="00333E28"/>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BB1"/>
    <w:rsid w:val="00343FD4"/>
    <w:rsid w:val="003440F9"/>
    <w:rsid w:val="00344149"/>
    <w:rsid w:val="003442F3"/>
    <w:rsid w:val="00344430"/>
    <w:rsid w:val="003447F4"/>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47D32"/>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81B"/>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272"/>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3FF"/>
    <w:rsid w:val="003A4446"/>
    <w:rsid w:val="003A4469"/>
    <w:rsid w:val="003A4670"/>
    <w:rsid w:val="003A4779"/>
    <w:rsid w:val="003A4A4E"/>
    <w:rsid w:val="003A4A4F"/>
    <w:rsid w:val="003A4D3C"/>
    <w:rsid w:val="003A5CDA"/>
    <w:rsid w:val="003A5FEA"/>
    <w:rsid w:val="003A6356"/>
    <w:rsid w:val="003A674A"/>
    <w:rsid w:val="003A68EC"/>
    <w:rsid w:val="003A6FDE"/>
    <w:rsid w:val="003A7FC8"/>
    <w:rsid w:val="003B013B"/>
    <w:rsid w:val="003B016F"/>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87"/>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37"/>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1B3"/>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3F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302E"/>
    <w:rsid w:val="003F42D6"/>
    <w:rsid w:val="003F448A"/>
    <w:rsid w:val="003F4CA0"/>
    <w:rsid w:val="003F4D1B"/>
    <w:rsid w:val="003F4D3E"/>
    <w:rsid w:val="003F57D4"/>
    <w:rsid w:val="003F5922"/>
    <w:rsid w:val="003F5BB3"/>
    <w:rsid w:val="003F5D1D"/>
    <w:rsid w:val="003F6365"/>
    <w:rsid w:val="003F64A2"/>
    <w:rsid w:val="003F6745"/>
    <w:rsid w:val="003F67C0"/>
    <w:rsid w:val="003F71AB"/>
    <w:rsid w:val="003F72E0"/>
    <w:rsid w:val="003F73D8"/>
    <w:rsid w:val="003F7789"/>
    <w:rsid w:val="003F7995"/>
    <w:rsid w:val="003F79C4"/>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B09"/>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38"/>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5A6D"/>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3E3"/>
    <w:rsid w:val="00452841"/>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5C8"/>
    <w:rsid w:val="00462BDA"/>
    <w:rsid w:val="004635FA"/>
    <w:rsid w:val="00463717"/>
    <w:rsid w:val="00463740"/>
    <w:rsid w:val="00463946"/>
    <w:rsid w:val="00463E75"/>
    <w:rsid w:val="00463F22"/>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AAF"/>
    <w:rsid w:val="00485B60"/>
    <w:rsid w:val="00485B9E"/>
    <w:rsid w:val="00485D81"/>
    <w:rsid w:val="00486042"/>
    <w:rsid w:val="004860E7"/>
    <w:rsid w:val="00486728"/>
    <w:rsid w:val="0048677C"/>
    <w:rsid w:val="00486858"/>
    <w:rsid w:val="00486BBB"/>
    <w:rsid w:val="00486F48"/>
    <w:rsid w:val="00487507"/>
    <w:rsid w:val="00490150"/>
    <w:rsid w:val="004902B6"/>
    <w:rsid w:val="004904E5"/>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9EE"/>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03"/>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5B2"/>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25"/>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B6D"/>
    <w:rsid w:val="00516D44"/>
    <w:rsid w:val="00516D84"/>
    <w:rsid w:val="005171FE"/>
    <w:rsid w:val="00517278"/>
    <w:rsid w:val="005173D2"/>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2AB"/>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AB6"/>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9C0"/>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29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0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1F9"/>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3C"/>
    <w:rsid w:val="00594E86"/>
    <w:rsid w:val="00595281"/>
    <w:rsid w:val="005953E2"/>
    <w:rsid w:val="00595AC8"/>
    <w:rsid w:val="00595B39"/>
    <w:rsid w:val="00595B65"/>
    <w:rsid w:val="00595EA4"/>
    <w:rsid w:val="00596038"/>
    <w:rsid w:val="0059666F"/>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2A7B"/>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6C6"/>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047"/>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C4A"/>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2"/>
    <w:rsid w:val="00606635"/>
    <w:rsid w:val="006066F1"/>
    <w:rsid w:val="006067F8"/>
    <w:rsid w:val="006068FE"/>
    <w:rsid w:val="00606DC5"/>
    <w:rsid w:val="00607067"/>
    <w:rsid w:val="0060709D"/>
    <w:rsid w:val="006073F6"/>
    <w:rsid w:val="006074C7"/>
    <w:rsid w:val="00607B57"/>
    <w:rsid w:val="00607C44"/>
    <w:rsid w:val="00607E4C"/>
    <w:rsid w:val="006100EF"/>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EA6"/>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02"/>
    <w:rsid w:val="006346FB"/>
    <w:rsid w:val="00634866"/>
    <w:rsid w:val="0063497C"/>
    <w:rsid w:val="006349B5"/>
    <w:rsid w:val="00634B26"/>
    <w:rsid w:val="00634C56"/>
    <w:rsid w:val="00634D3D"/>
    <w:rsid w:val="00634F15"/>
    <w:rsid w:val="00635B79"/>
    <w:rsid w:val="00636464"/>
    <w:rsid w:val="0063666B"/>
    <w:rsid w:val="00636A27"/>
    <w:rsid w:val="006372B6"/>
    <w:rsid w:val="00637669"/>
    <w:rsid w:val="006377C8"/>
    <w:rsid w:val="00637EBC"/>
    <w:rsid w:val="00640054"/>
    <w:rsid w:val="0064014C"/>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481"/>
    <w:rsid w:val="00644602"/>
    <w:rsid w:val="006446FC"/>
    <w:rsid w:val="00644FFB"/>
    <w:rsid w:val="00645305"/>
    <w:rsid w:val="00645609"/>
    <w:rsid w:val="00645866"/>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0AA"/>
    <w:rsid w:val="0065769A"/>
    <w:rsid w:val="00657BC5"/>
    <w:rsid w:val="00660112"/>
    <w:rsid w:val="0066020C"/>
    <w:rsid w:val="0066083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48"/>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C88"/>
    <w:rsid w:val="00692572"/>
    <w:rsid w:val="0069267F"/>
    <w:rsid w:val="00692AA7"/>
    <w:rsid w:val="00692ADE"/>
    <w:rsid w:val="00692B86"/>
    <w:rsid w:val="00692CF9"/>
    <w:rsid w:val="00692D6C"/>
    <w:rsid w:val="00692E2F"/>
    <w:rsid w:val="00693102"/>
    <w:rsid w:val="00693150"/>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150"/>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57"/>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57"/>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6A"/>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B6"/>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199"/>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2F5"/>
    <w:rsid w:val="0072496E"/>
    <w:rsid w:val="007249E6"/>
    <w:rsid w:val="00724A7D"/>
    <w:rsid w:val="00724A83"/>
    <w:rsid w:val="00724C01"/>
    <w:rsid w:val="007255AE"/>
    <w:rsid w:val="0072561F"/>
    <w:rsid w:val="00725639"/>
    <w:rsid w:val="007256F4"/>
    <w:rsid w:val="007258BB"/>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E71"/>
    <w:rsid w:val="00733219"/>
    <w:rsid w:val="007334A3"/>
    <w:rsid w:val="007334C5"/>
    <w:rsid w:val="00733A14"/>
    <w:rsid w:val="00734A5A"/>
    <w:rsid w:val="00734B26"/>
    <w:rsid w:val="00734D12"/>
    <w:rsid w:val="0073516F"/>
    <w:rsid w:val="007352C7"/>
    <w:rsid w:val="007353C9"/>
    <w:rsid w:val="00735E69"/>
    <w:rsid w:val="00736871"/>
    <w:rsid w:val="00736888"/>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8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445"/>
    <w:rsid w:val="00762538"/>
    <w:rsid w:val="00762B25"/>
    <w:rsid w:val="007636AE"/>
    <w:rsid w:val="00763F46"/>
    <w:rsid w:val="00763FE2"/>
    <w:rsid w:val="007640F4"/>
    <w:rsid w:val="00764120"/>
    <w:rsid w:val="0076415A"/>
    <w:rsid w:val="00764267"/>
    <w:rsid w:val="00764288"/>
    <w:rsid w:val="007642E8"/>
    <w:rsid w:val="00764323"/>
    <w:rsid w:val="007643F1"/>
    <w:rsid w:val="0076468B"/>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030"/>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77DDB"/>
    <w:rsid w:val="00780445"/>
    <w:rsid w:val="007804E7"/>
    <w:rsid w:val="00780B79"/>
    <w:rsid w:val="00780BAF"/>
    <w:rsid w:val="00781631"/>
    <w:rsid w:val="00781840"/>
    <w:rsid w:val="00781ADE"/>
    <w:rsid w:val="0078225A"/>
    <w:rsid w:val="00782635"/>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3A6"/>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D22"/>
    <w:rsid w:val="007C3F4C"/>
    <w:rsid w:val="007C4053"/>
    <w:rsid w:val="007C4201"/>
    <w:rsid w:val="007C4C79"/>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FD0"/>
    <w:rsid w:val="007D73A7"/>
    <w:rsid w:val="007D74A9"/>
    <w:rsid w:val="007D7689"/>
    <w:rsid w:val="007D77FD"/>
    <w:rsid w:val="007D7AF1"/>
    <w:rsid w:val="007D7B1C"/>
    <w:rsid w:val="007D7DB9"/>
    <w:rsid w:val="007E0189"/>
    <w:rsid w:val="007E04DD"/>
    <w:rsid w:val="007E0749"/>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CA3"/>
    <w:rsid w:val="007E3DBB"/>
    <w:rsid w:val="007E3F3D"/>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9AB"/>
    <w:rsid w:val="007F1CBA"/>
    <w:rsid w:val="007F2471"/>
    <w:rsid w:val="007F27A2"/>
    <w:rsid w:val="007F284E"/>
    <w:rsid w:val="007F2A38"/>
    <w:rsid w:val="007F311B"/>
    <w:rsid w:val="007F343C"/>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011"/>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5E5B"/>
    <w:rsid w:val="00825F31"/>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644"/>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541"/>
    <w:rsid w:val="00843888"/>
    <w:rsid w:val="00843938"/>
    <w:rsid w:val="00843959"/>
    <w:rsid w:val="0084420C"/>
    <w:rsid w:val="0084466C"/>
    <w:rsid w:val="00845031"/>
    <w:rsid w:val="00845502"/>
    <w:rsid w:val="0084562C"/>
    <w:rsid w:val="00845D6E"/>
    <w:rsid w:val="00846242"/>
    <w:rsid w:val="00846A1E"/>
    <w:rsid w:val="00846B59"/>
    <w:rsid w:val="00846E56"/>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9DC"/>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4B6E"/>
    <w:rsid w:val="0086665A"/>
    <w:rsid w:val="008667F8"/>
    <w:rsid w:val="0086693C"/>
    <w:rsid w:val="00866D5F"/>
    <w:rsid w:val="00866E26"/>
    <w:rsid w:val="0086780A"/>
    <w:rsid w:val="00867941"/>
    <w:rsid w:val="00867D8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7E1"/>
    <w:rsid w:val="008729B7"/>
    <w:rsid w:val="00872DD7"/>
    <w:rsid w:val="00872E62"/>
    <w:rsid w:val="00873025"/>
    <w:rsid w:val="00873523"/>
    <w:rsid w:val="00873540"/>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A43"/>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543"/>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FB0"/>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AD1"/>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7DC"/>
    <w:rsid w:val="008B5BB8"/>
    <w:rsid w:val="008B5CC6"/>
    <w:rsid w:val="008B5DE1"/>
    <w:rsid w:val="008B6087"/>
    <w:rsid w:val="008B62BE"/>
    <w:rsid w:val="008B63FE"/>
    <w:rsid w:val="008B66BF"/>
    <w:rsid w:val="008B6C52"/>
    <w:rsid w:val="008B7085"/>
    <w:rsid w:val="008B7102"/>
    <w:rsid w:val="008B7309"/>
    <w:rsid w:val="008B747D"/>
    <w:rsid w:val="008B74B5"/>
    <w:rsid w:val="008B74BE"/>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58DD"/>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2B"/>
    <w:rsid w:val="008E396B"/>
    <w:rsid w:val="008E3A6B"/>
    <w:rsid w:val="008E3AB4"/>
    <w:rsid w:val="008E3EA3"/>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95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12"/>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63"/>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3D9E"/>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65A"/>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5EE"/>
    <w:rsid w:val="0095166F"/>
    <w:rsid w:val="009517C5"/>
    <w:rsid w:val="0095187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C24"/>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0E"/>
    <w:rsid w:val="009763B2"/>
    <w:rsid w:val="009764FD"/>
    <w:rsid w:val="0097661B"/>
    <w:rsid w:val="00976AC6"/>
    <w:rsid w:val="00976BCF"/>
    <w:rsid w:val="009770BE"/>
    <w:rsid w:val="009770C1"/>
    <w:rsid w:val="00977C08"/>
    <w:rsid w:val="00977CCB"/>
    <w:rsid w:val="00977D9D"/>
    <w:rsid w:val="00980834"/>
    <w:rsid w:val="009809E7"/>
    <w:rsid w:val="00980EF2"/>
    <w:rsid w:val="0098123F"/>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090"/>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23"/>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6CAE"/>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4F0F"/>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420"/>
    <w:rsid w:val="009E09C9"/>
    <w:rsid w:val="009E0E4D"/>
    <w:rsid w:val="009E1528"/>
    <w:rsid w:val="009E191D"/>
    <w:rsid w:val="009E19B0"/>
    <w:rsid w:val="009E19B3"/>
    <w:rsid w:val="009E1B70"/>
    <w:rsid w:val="009E1E77"/>
    <w:rsid w:val="009E226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151"/>
    <w:rsid w:val="009E5774"/>
    <w:rsid w:val="009E5A86"/>
    <w:rsid w:val="009E6101"/>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9F"/>
    <w:rsid w:val="00A113BD"/>
    <w:rsid w:val="00A114DD"/>
    <w:rsid w:val="00A11C07"/>
    <w:rsid w:val="00A11DAD"/>
    <w:rsid w:val="00A12305"/>
    <w:rsid w:val="00A1265D"/>
    <w:rsid w:val="00A126F1"/>
    <w:rsid w:val="00A128E7"/>
    <w:rsid w:val="00A1299C"/>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971"/>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F9D"/>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82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7B1"/>
    <w:rsid w:val="00A44808"/>
    <w:rsid w:val="00A44BA6"/>
    <w:rsid w:val="00A452E6"/>
    <w:rsid w:val="00A452ED"/>
    <w:rsid w:val="00A45496"/>
    <w:rsid w:val="00A4596F"/>
    <w:rsid w:val="00A45C0A"/>
    <w:rsid w:val="00A467D4"/>
    <w:rsid w:val="00A469CF"/>
    <w:rsid w:val="00A46DA9"/>
    <w:rsid w:val="00A471AF"/>
    <w:rsid w:val="00A4796C"/>
    <w:rsid w:val="00A47A2F"/>
    <w:rsid w:val="00A47D19"/>
    <w:rsid w:val="00A47E74"/>
    <w:rsid w:val="00A501C9"/>
    <w:rsid w:val="00A503FB"/>
    <w:rsid w:val="00A50B6B"/>
    <w:rsid w:val="00A51044"/>
    <w:rsid w:val="00A510CE"/>
    <w:rsid w:val="00A51357"/>
    <w:rsid w:val="00A514E3"/>
    <w:rsid w:val="00A51774"/>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1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E56"/>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B3D"/>
    <w:rsid w:val="00AA1C83"/>
    <w:rsid w:val="00AA1DF8"/>
    <w:rsid w:val="00AA2114"/>
    <w:rsid w:val="00AA2317"/>
    <w:rsid w:val="00AA2AB2"/>
    <w:rsid w:val="00AA33A3"/>
    <w:rsid w:val="00AA3420"/>
    <w:rsid w:val="00AA3D1D"/>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801"/>
    <w:rsid w:val="00AC0AD6"/>
    <w:rsid w:val="00AC0B92"/>
    <w:rsid w:val="00AC0C5C"/>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AA9"/>
    <w:rsid w:val="00AC4FD6"/>
    <w:rsid w:val="00AC5541"/>
    <w:rsid w:val="00AC563B"/>
    <w:rsid w:val="00AC5D2C"/>
    <w:rsid w:val="00AC60FC"/>
    <w:rsid w:val="00AC6946"/>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0B"/>
    <w:rsid w:val="00AD439D"/>
    <w:rsid w:val="00AD4899"/>
    <w:rsid w:val="00AD4CF8"/>
    <w:rsid w:val="00AD4FC0"/>
    <w:rsid w:val="00AD50E8"/>
    <w:rsid w:val="00AD51B8"/>
    <w:rsid w:val="00AD52A3"/>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4FE8"/>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3DD8"/>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742"/>
    <w:rsid w:val="00B00949"/>
    <w:rsid w:val="00B00A2F"/>
    <w:rsid w:val="00B017FB"/>
    <w:rsid w:val="00B01854"/>
    <w:rsid w:val="00B01DCB"/>
    <w:rsid w:val="00B023A9"/>
    <w:rsid w:val="00B02655"/>
    <w:rsid w:val="00B0270D"/>
    <w:rsid w:val="00B02CF5"/>
    <w:rsid w:val="00B02DA1"/>
    <w:rsid w:val="00B03303"/>
    <w:rsid w:val="00B0404F"/>
    <w:rsid w:val="00B041A9"/>
    <w:rsid w:val="00B04350"/>
    <w:rsid w:val="00B04440"/>
    <w:rsid w:val="00B04507"/>
    <w:rsid w:val="00B04B1A"/>
    <w:rsid w:val="00B04C1E"/>
    <w:rsid w:val="00B04E55"/>
    <w:rsid w:val="00B04FC2"/>
    <w:rsid w:val="00B053B9"/>
    <w:rsid w:val="00B0595C"/>
    <w:rsid w:val="00B05A03"/>
    <w:rsid w:val="00B060F4"/>
    <w:rsid w:val="00B06219"/>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268"/>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779"/>
    <w:rsid w:val="00B1684C"/>
    <w:rsid w:val="00B16978"/>
    <w:rsid w:val="00B1697C"/>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E2B"/>
    <w:rsid w:val="00B241BD"/>
    <w:rsid w:val="00B246AD"/>
    <w:rsid w:val="00B24735"/>
    <w:rsid w:val="00B24BE6"/>
    <w:rsid w:val="00B24D88"/>
    <w:rsid w:val="00B24DC1"/>
    <w:rsid w:val="00B25226"/>
    <w:rsid w:val="00B2569C"/>
    <w:rsid w:val="00B258F9"/>
    <w:rsid w:val="00B261FE"/>
    <w:rsid w:val="00B264E1"/>
    <w:rsid w:val="00B27383"/>
    <w:rsid w:val="00B276AD"/>
    <w:rsid w:val="00B276C8"/>
    <w:rsid w:val="00B2771B"/>
    <w:rsid w:val="00B277F6"/>
    <w:rsid w:val="00B27B7C"/>
    <w:rsid w:val="00B27EF3"/>
    <w:rsid w:val="00B30197"/>
    <w:rsid w:val="00B30252"/>
    <w:rsid w:val="00B30280"/>
    <w:rsid w:val="00B30737"/>
    <w:rsid w:val="00B3084E"/>
    <w:rsid w:val="00B30B26"/>
    <w:rsid w:val="00B30F20"/>
    <w:rsid w:val="00B31067"/>
    <w:rsid w:val="00B31620"/>
    <w:rsid w:val="00B31951"/>
    <w:rsid w:val="00B31FA6"/>
    <w:rsid w:val="00B32087"/>
    <w:rsid w:val="00B320F3"/>
    <w:rsid w:val="00B32122"/>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A5"/>
    <w:rsid w:val="00B379C7"/>
    <w:rsid w:val="00B379CE"/>
    <w:rsid w:val="00B37CC1"/>
    <w:rsid w:val="00B37E64"/>
    <w:rsid w:val="00B408B0"/>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6AD"/>
    <w:rsid w:val="00B4773D"/>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7F9"/>
    <w:rsid w:val="00B72A4C"/>
    <w:rsid w:val="00B72B9A"/>
    <w:rsid w:val="00B737CC"/>
    <w:rsid w:val="00B73CBB"/>
    <w:rsid w:val="00B73EA1"/>
    <w:rsid w:val="00B73F7A"/>
    <w:rsid w:val="00B74407"/>
    <w:rsid w:val="00B74A5F"/>
    <w:rsid w:val="00B75806"/>
    <w:rsid w:val="00B75F11"/>
    <w:rsid w:val="00B764E3"/>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3C2"/>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70"/>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1E"/>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2E73"/>
    <w:rsid w:val="00BC30B7"/>
    <w:rsid w:val="00BC3587"/>
    <w:rsid w:val="00BC370F"/>
    <w:rsid w:val="00BC39E8"/>
    <w:rsid w:val="00BC41A0"/>
    <w:rsid w:val="00BC4424"/>
    <w:rsid w:val="00BC495A"/>
    <w:rsid w:val="00BC5416"/>
    <w:rsid w:val="00BC56B9"/>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C7F"/>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D7E04"/>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C8"/>
    <w:rsid w:val="00BE2FEA"/>
    <w:rsid w:val="00BE34B8"/>
    <w:rsid w:val="00BE3F78"/>
    <w:rsid w:val="00BE3F9A"/>
    <w:rsid w:val="00BE3FE9"/>
    <w:rsid w:val="00BE4296"/>
    <w:rsid w:val="00BE42DA"/>
    <w:rsid w:val="00BE43CA"/>
    <w:rsid w:val="00BE44CF"/>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232"/>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AB9"/>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96A"/>
    <w:rsid w:val="00C03C8B"/>
    <w:rsid w:val="00C03CD0"/>
    <w:rsid w:val="00C04002"/>
    <w:rsid w:val="00C04394"/>
    <w:rsid w:val="00C04459"/>
    <w:rsid w:val="00C047A2"/>
    <w:rsid w:val="00C04CD2"/>
    <w:rsid w:val="00C053EB"/>
    <w:rsid w:val="00C058A3"/>
    <w:rsid w:val="00C05C4D"/>
    <w:rsid w:val="00C05D6C"/>
    <w:rsid w:val="00C066B5"/>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AF1"/>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4A"/>
    <w:rsid w:val="00C20205"/>
    <w:rsid w:val="00C20568"/>
    <w:rsid w:val="00C209BF"/>
    <w:rsid w:val="00C20A15"/>
    <w:rsid w:val="00C20E1E"/>
    <w:rsid w:val="00C21254"/>
    <w:rsid w:val="00C2162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A32"/>
    <w:rsid w:val="00C25FE6"/>
    <w:rsid w:val="00C26313"/>
    <w:rsid w:val="00C26416"/>
    <w:rsid w:val="00C26699"/>
    <w:rsid w:val="00C266B3"/>
    <w:rsid w:val="00C2708F"/>
    <w:rsid w:val="00C27242"/>
    <w:rsid w:val="00C27BED"/>
    <w:rsid w:val="00C3060C"/>
    <w:rsid w:val="00C308E4"/>
    <w:rsid w:val="00C30EA7"/>
    <w:rsid w:val="00C31F8A"/>
    <w:rsid w:val="00C31FB1"/>
    <w:rsid w:val="00C32800"/>
    <w:rsid w:val="00C3284B"/>
    <w:rsid w:val="00C32CBC"/>
    <w:rsid w:val="00C32DFF"/>
    <w:rsid w:val="00C331F6"/>
    <w:rsid w:val="00C3320F"/>
    <w:rsid w:val="00C332B0"/>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4E0"/>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4F5"/>
    <w:rsid w:val="00C5063D"/>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7F"/>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5C2E"/>
    <w:rsid w:val="00C760FF"/>
    <w:rsid w:val="00C76384"/>
    <w:rsid w:val="00C766F6"/>
    <w:rsid w:val="00C7690F"/>
    <w:rsid w:val="00C76CF9"/>
    <w:rsid w:val="00C76F98"/>
    <w:rsid w:val="00C76FC8"/>
    <w:rsid w:val="00C777CB"/>
    <w:rsid w:val="00C7797D"/>
    <w:rsid w:val="00C804BD"/>
    <w:rsid w:val="00C80574"/>
    <w:rsid w:val="00C80958"/>
    <w:rsid w:val="00C80C24"/>
    <w:rsid w:val="00C80E40"/>
    <w:rsid w:val="00C8107D"/>
    <w:rsid w:val="00C81179"/>
    <w:rsid w:val="00C81455"/>
    <w:rsid w:val="00C814C3"/>
    <w:rsid w:val="00C81C8D"/>
    <w:rsid w:val="00C81EF5"/>
    <w:rsid w:val="00C82055"/>
    <w:rsid w:val="00C822F1"/>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B50"/>
    <w:rsid w:val="00CB2C1D"/>
    <w:rsid w:val="00CB2D76"/>
    <w:rsid w:val="00CB2EDB"/>
    <w:rsid w:val="00CB2FC0"/>
    <w:rsid w:val="00CB309A"/>
    <w:rsid w:val="00CB313D"/>
    <w:rsid w:val="00CB316A"/>
    <w:rsid w:val="00CB3643"/>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47D"/>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DF9"/>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707"/>
    <w:rsid w:val="00CF5988"/>
    <w:rsid w:val="00CF5FEF"/>
    <w:rsid w:val="00CF6305"/>
    <w:rsid w:val="00CF6427"/>
    <w:rsid w:val="00CF67B6"/>
    <w:rsid w:val="00CF6898"/>
    <w:rsid w:val="00CF6C05"/>
    <w:rsid w:val="00CF72E9"/>
    <w:rsid w:val="00CF7319"/>
    <w:rsid w:val="00CF73E0"/>
    <w:rsid w:val="00CF7970"/>
    <w:rsid w:val="00CF79C9"/>
    <w:rsid w:val="00D00601"/>
    <w:rsid w:val="00D007CE"/>
    <w:rsid w:val="00D00DF6"/>
    <w:rsid w:val="00D01829"/>
    <w:rsid w:val="00D01A20"/>
    <w:rsid w:val="00D01F0A"/>
    <w:rsid w:val="00D01FDD"/>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5BE9"/>
    <w:rsid w:val="00D061D1"/>
    <w:rsid w:val="00D06506"/>
    <w:rsid w:val="00D07A8C"/>
    <w:rsid w:val="00D07AAA"/>
    <w:rsid w:val="00D07FB0"/>
    <w:rsid w:val="00D10206"/>
    <w:rsid w:val="00D1055D"/>
    <w:rsid w:val="00D10583"/>
    <w:rsid w:val="00D108AC"/>
    <w:rsid w:val="00D108B2"/>
    <w:rsid w:val="00D10B2A"/>
    <w:rsid w:val="00D10D2E"/>
    <w:rsid w:val="00D10FF9"/>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245"/>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39"/>
    <w:rsid w:val="00D56E4E"/>
    <w:rsid w:val="00D56F0A"/>
    <w:rsid w:val="00D57733"/>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C0D"/>
    <w:rsid w:val="00D71E12"/>
    <w:rsid w:val="00D721D0"/>
    <w:rsid w:val="00D72403"/>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BC"/>
    <w:rsid w:val="00D76979"/>
    <w:rsid w:val="00D769D5"/>
    <w:rsid w:val="00D76A92"/>
    <w:rsid w:val="00D7717C"/>
    <w:rsid w:val="00D772AF"/>
    <w:rsid w:val="00D77873"/>
    <w:rsid w:val="00D77AD2"/>
    <w:rsid w:val="00D77E0E"/>
    <w:rsid w:val="00D77E13"/>
    <w:rsid w:val="00D77FEE"/>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23A"/>
    <w:rsid w:val="00D86390"/>
    <w:rsid w:val="00D86911"/>
    <w:rsid w:val="00D86D10"/>
    <w:rsid w:val="00D87183"/>
    <w:rsid w:val="00D87ADD"/>
    <w:rsid w:val="00D87CCF"/>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0FB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9DE"/>
    <w:rsid w:val="00DA4ADA"/>
    <w:rsid w:val="00DA4F56"/>
    <w:rsid w:val="00DA5108"/>
    <w:rsid w:val="00DA52B3"/>
    <w:rsid w:val="00DA5370"/>
    <w:rsid w:val="00DA554C"/>
    <w:rsid w:val="00DA589C"/>
    <w:rsid w:val="00DA6337"/>
    <w:rsid w:val="00DA6581"/>
    <w:rsid w:val="00DA6B41"/>
    <w:rsid w:val="00DA713C"/>
    <w:rsid w:val="00DA7770"/>
    <w:rsid w:val="00DA78E3"/>
    <w:rsid w:val="00DB038E"/>
    <w:rsid w:val="00DB045D"/>
    <w:rsid w:val="00DB0D49"/>
    <w:rsid w:val="00DB0EDF"/>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601"/>
    <w:rsid w:val="00DB67D6"/>
    <w:rsid w:val="00DB6859"/>
    <w:rsid w:val="00DB6D3B"/>
    <w:rsid w:val="00DB6E52"/>
    <w:rsid w:val="00DB7804"/>
    <w:rsid w:val="00DB782C"/>
    <w:rsid w:val="00DC0203"/>
    <w:rsid w:val="00DC0653"/>
    <w:rsid w:val="00DC0898"/>
    <w:rsid w:val="00DC10E6"/>
    <w:rsid w:val="00DC1A6E"/>
    <w:rsid w:val="00DC1A90"/>
    <w:rsid w:val="00DC1F58"/>
    <w:rsid w:val="00DC2116"/>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9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F03"/>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7D0"/>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15C"/>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36"/>
    <w:rsid w:val="00E07F51"/>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21C"/>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445"/>
    <w:rsid w:val="00E209C7"/>
    <w:rsid w:val="00E20AE0"/>
    <w:rsid w:val="00E20B35"/>
    <w:rsid w:val="00E2120B"/>
    <w:rsid w:val="00E219A3"/>
    <w:rsid w:val="00E21D73"/>
    <w:rsid w:val="00E22B5C"/>
    <w:rsid w:val="00E22C1C"/>
    <w:rsid w:val="00E23361"/>
    <w:rsid w:val="00E236AB"/>
    <w:rsid w:val="00E236F5"/>
    <w:rsid w:val="00E237B9"/>
    <w:rsid w:val="00E23B86"/>
    <w:rsid w:val="00E23E7A"/>
    <w:rsid w:val="00E24088"/>
    <w:rsid w:val="00E242A7"/>
    <w:rsid w:val="00E243E9"/>
    <w:rsid w:val="00E2440E"/>
    <w:rsid w:val="00E24998"/>
    <w:rsid w:val="00E249BB"/>
    <w:rsid w:val="00E249E9"/>
    <w:rsid w:val="00E25AB5"/>
    <w:rsid w:val="00E25FF6"/>
    <w:rsid w:val="00E26014"/>
    <w:rsid w:val="00E26138"/>
    <w:rsid w:val="00E262BC"/>
    <w:rsid w:val="00E2652E"/>
    <w:rsid w:val="00E2669E"/>
    <w:rsid w:val="00E267FA"/>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8D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FB"/>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79B"/>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AF9"/>
    <w:rsid w:val="00E54A05"/>
    <w:rsid w:val="00E54A2C"/>
    <w:rsid w:val="00E54DFA"/>
    <w:rsid w:val="00E54EB8"/>
    <w:rsid w:val="00E55A67"/>
    <w:rsid w:val="00E55A82"/>
    <w:rsid w:val="00E55E30"/>
    <w:rsid w:val="00E5637C"/>
    <w:rsid w:val="00E5668F"/>
    <w:rsid w:val="00E56829"/>
    <w:rsid w:val="00E56887"/>
    <w:rsid w:val="00E56CC7"/>
    <w:rsid w:val="00E56F01"/>
    <w:rsid w:val="00E5768F"/>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5B"/>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44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44"/>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49F"/>
    <w:rsid w:val="00E95D12"/>
    <w:rsid w:val="00E95E8C"/>
    <w:rsid w:val="00E95EA8"/>
    <w:rsid w:val="00E963C2"/>
    <w:rsid w:val="00E9688B"/>
    <w:rsid w:val="00E96CCE"/>
    <w:rsid w:val="00E96E00"/>
    <w:rsid w:val="00E96E72"/>
    <w:rsid w:val="00E978FC"/>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C14"/>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2B4"/>
    <w:rsid w:val="00EB23A6"/>
    <w:rsid w:val="00EB24C8"/>
    <w:rsid w:val="00EB25E0"/>
    <w:rsid w:val="00EB3012"/>
    <w:rsid w:val="00EB31C2"/>
    <w:rsid w:val="00EB36E9"/>
    <w:rsid w:val="00EB3836"/>
    <w:rsid w:val="00EB3FCA"/>
    <w:rsid w:val="00EB41B4"/>
    <w:rsid w:val="00EB42F6"/>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58"/>
    <w:rsid w:val="00EB7C67"/>
    <w:rsid w:val="00EB7FD9"/>
    <w:rsid w:val="00EC0004"/>
    <w:rsid w:val="00EC052E"/>
    <w:rsid w:val="00EC0EE7"/>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B5E"/>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F38"/>
    <w:rsid w:val="00F102EE"/>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244"/>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305"/>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846"/>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3BA"/>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959"/>
    <w:rsid w:val="00F60EF0"/>
    <w:rsid w:val="00F6193D"/>
    <w:rsid w:val="00F61A95"/>
    <w:rsid w:val="00F624AE"/>
    <w:rsid w:val="00F62558"/>
    <w:rsid w:val="00F634C2"/>
    <w:rsid w:val="00F635E0"/>
    <w:rsid w:val="00F6417D"/>
    <w:rsid w:val="00F64916"/>
    <w:rsid w:val="00F65C72"/>
    <w:rsid w:val="00F66735"/>
    <w:rsid w:val="00F66CF1"/>
    <w:rsid w:val="00F671E7"/>
    <w:rsid w:val="00F673AA"/>
    <w:rsid w:val="00F677A7"/>
    <w:rsid w:val="00F67D83"/>
    <w:rsid w:val="00F67DA1"/>
    <w:rsid w:val="00F67F4C"/>
    <w:rsid w:val="00F700A4"/>
    <w:rsid w:val="00F70179"/>
    <w:rsid w:val="00F70210"/>
    <w:rsid w:val="00F703F2"/>
    <w:rsid w:val="00F707A9"/>
    <w:rsid w:val="00F70895"/>
    <w:rsid w:val="00F7095E"/>
    <w:rsid w:val="00F709DD"/>
    <w:rsid w:val="00F70B33"/>
    <w:rsid w:val="00F70C94"/>
    <w:rsid w:val="00F70E78"/>
    <w:rsid w:val="00F711B8"/>
    <w:rsid w:val="00F714F6"/>
    <w:rsid w:val="00F7164D"/>
    <w:rsid w:val="00F71710"/>
    <w:rsid w:val="00F7180B"/>
    <w:rsid w:val="00F71967"/>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A50"/>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0F51"/>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8A"/>
    <w:rsid w:val="00FC36BD"/>
    <w:rsid w:val="00FC3BAC"/>
    <w:rsid w:val="00FC3E33"/>
    <w:rsid w:val="00FC3E3B"/>
    <w:rsid w:val="00FC469E"/>
    <w:rsid w:val="00FC4DE2"/>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6A"/>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0A6"/>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7D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D82"/>
    <w:rsid w:val="00FF3E2A"/>
    <w:rsid w:val="00FF4919"/>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07E2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列表段落1,¥ê¥¹¥È¶ÎÂä,1st level - Bullet List Paragraph,Lettre d'introduction,Paragrafo elenco,Normal bullet 2,Bullet list,목록단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列表段落1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01472">
      <w:bodyDiv w:val="1"/>
      <w:marLeft w:val="0"/>
      <w:marRight w:val="0"/>
      <w:marTop w:val="0"/>
      <w:marBottom w:val="0"/>
      <w:divBdr>
        <w:top w:val="none" w:sz="0" w:space="0" w:color="auto"/>
        <w:left w:val="none" w:sz="0" w:space="0" w:color="auto"/>
        <w:bottom w:val="none" w:sz="0" w:space="0" w:color="auto"/>
        <w:right w:val="none" w:sz="0" w:space="0" w:color="auto"/>
      </w:divBdr>
      <w:divsChild>
        <w:div w:id="700204184">
          <w:marLeft w:val="1166"/>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29394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503673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019821">
      <w:bodyDiv w:val="1"/>
      <w:marLeft w:val="0"/>
      <w:marRight w:val="0"/>
      <w:marTop w:val="0"/>
      <w:marBottom w:val="0"/>
      <w:divBdr>
        <w:top w:val="none" w:sz="0" w:space="0" w:color="auto"/>
        <w:left w:val="none" w:sz="0" w:space="0" w:color="auto"/>
        <w:bottom w:val="none" w:sz="0" w:space="0" w:color="auto"/>
        <w:right w:val="none" w:sz="0" w:space="0" w:color="auto"/>
      </w:divBdr>
      <w:divsChild>
        <w:div w:id="438722099">
          <w:marLeft w:val="1166"/>
          <w:marRight w:val="0"/>
          <w:marTop w:val="12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1161C-1899-4D43-948C-38422C83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2154</Words>
  <Characters>11834</Characters>
  <Application>Microsoft Office Word</Application>
  <DocSecurity>0</DocSecurity>
  <Lines>98</Lines>
  <Paragraphs>27</Paragraphs>
  <ScaleCrop>false</ScaleCrop>
  <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2019-10-07T07:35:00Z</dcterms:created>
  <dcterms:modified xsi:type="dcterms:W3CDTF">2019-10-07T07:36:00Z</dcterms:modified>
</cp:coreProperties>
</file>